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Principal Engineer with over 11 years in software development, specializing in AI/ML innovation and production-grade systems. Proficient in Python, AWS, and scalable machine learning pipelines, with a history of collaborating on complex architectural designs to deliver impactful health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FastAPI, Flask, TensorFlow, PyTorch, Scikit-learn, XGBoost, OpenCV,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AWS Lambda, CloudWatch,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Infrastructure:</w:t>
      </w:r>
      <w:r w:rsidRPr="003813CA">
        <w:rPr>
          <w:rFonts w:ascii="Arial" w:eastAsia="Century Gothic" w:hAnsi="Arial" w:cs="Arial"/>
          <w:sz w:val="22"/>
          <w:szCs w:val="22"/>
        </w:rPr>
        <w:t xml:space="preserve"> MLOps, Model Registry, CI/CD, Data Lakes, Vector Databases, Semantic Search, LLM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 Tools and Environments:</w:t>
      </w:r>
      <w:r w:rsidRPr="003813CA">
        <w:rPr>
          <w:rFonts w:ascii="Arial" w:eastAsia="Century Gothic" w:hAnsi="Arial" w:cs="Arial"/>
          <w:sz w:val="22"/>
          <w:szCs w:val="22"/>
        </w:rPr>
        <w:t xml:space="preserve"> Apache Kafka, PostgreSQL, NoSQL, MongoDB, Jupyter, VS Code, PyCharm,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prototyping of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supported the rapid productionization of high-quality health tech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fulfilling the mission of enhancing personalized wellness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Science and Product, to validate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through rigorous experimentation and deployment, creating a bridge between complex engineering and scientific research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sustained performance in production environments, while working within the constraints of health tech regulations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LLM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Bedrock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architectures to support health solutions that prioritize user engagement and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operationalized serverless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innovative resource management that directly enhanced team productivity while maintaining stringent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monitoring and observability frameworks,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proactive reporting of model performance metrics to inform ongoing optimization initiatives and alignment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promoting a culture of knowledge sharing and continuous improvement within the engineering team as part of core responsibilities.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prototypes in line with healthcare regulations, helping to ensure that innovations not only met technical feasibility but also adhered to industry standards and ethical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production systems, expanding the capabilities of existing platforms and enhancing user-driven experiences through sophisticated algorithmic approaches to personal health.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stakeholders to translate technical topics into actionable insights, ensuring alignment with organizational strategic objectives and fostering collaborative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training and development programs, consistently seeking opportunities for personal growth and supporting colleagues in their professional development journeys through shared learning sessions.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digital solutions for civil IT, primarily focusing on planning and construction management, utilizing a combination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to streamline project workflows and enhance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software architectures which facilitated digital inspections and automated contracting processes, ensuring alignment with regulatory compliance and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including requirements gathering, system architecture, and deployment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directly boosting team productivity and project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user-centric web applications that improved the bid process for construction projects, leveraging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frontend and backend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analytics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into existing civil solutions, focusing on predictive modeling for project outcomes and resource allocation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cross-team code sharing initiatives to enhance knowledge transfer and maintain a high standard of software quality across all development projects, emphasizing iterative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digital solutions, aligning with industry trends towards scalable and secure platforms, enhancing accessibility for project stakeholders and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processes through automation using scripting languages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tools that reduced manual effort and minimized errors in project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enhance user interactions and engagements within civil IT applications, ensuring that all digital solutions were user-friendly and fit-for-purpose.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documentation of systems and procedures for digital solutions, establishing best practices and knowledge bases that supported onboarding and ongoing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testing phases of software deployment for clients in the civil sector, improving product stability and ensuring readiness for real-world application under rigorous conditions.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