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machine learning engineer with over 11 years in software development, specializing in AI systems, deep learning architectures, and autonomous logistics. Proven expertise in building scalable models and MLOps pipelines in production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SQL, R,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Deep Learning Frameworks:</w:t>
      </w:r>
      <w:r w:rsidRPr="003813CA">
        <w:rPr>
          <w:rFonts w:ascii="Arial" w:eastAsia="Century Gothic" w:hAnsi="Arial" w:cs="Arial"/>
          <w:sz w:val="22"/>
          <w:szCs w:val="22"/>
        </w:rPr>
        <w:t xml:space="preserve"> PyTorch, TensorFlow, Keras, PyTorch Geometric, DGL, Transformers, ONNX Runtime, TensorRT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GCP, Vertex AI, Cloud Run, Pub/Sub, MLflow, Airflow, Scikit-learn,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Reinforcement Learning:</w:t>
      </w:r>
      <w:r w:rsidRPr="003813CA">
        <w:rPr>
          <w:rFonts w:ascii="Arial" w:eastAsia="Century Gothic" w:hAnsi="Arial" w:cs="Arial"/>
          <w:sz w:val="22"/>
          <w:szCs w:val="22"/>
        </w:rPr>
        <w:t xml:space="preserve"> Multi-Agent RL, QMIX, Conservative Q-Learning, Imitation Learning, Hierarchical RL, Transfer Learning, Shadow Mode Deployment, A/B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Operations:</w:t>
      </w:r>
      <w:r w:rsidRPr="003813CA">
        <w:rPr>
          <w:rFonts w:ascii="Arial" w:eastAsia="Century Gothic" w:hAnsi="Arial" w:cs="Arial"/>
          <w:sz w:val="22"/>
          <w:szCs w:val="22"/>
        </w:rPr>
        <w:t xml:space="preserve"> MLOps, Docker, Kubernetes, Git, CI/CD, Feature Tools, Model Monitoring, Drift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core machine learning systems leveraging </w:t>
      </w:r>
      <w:r w:rsidRPr="003813CA">
        <w:rPr>
          <w:rStyle w:val="span"/>
          <w:rFonts w:ascii="Arial" w:eastAsia="Century Gothic" w:hAnsi="Arial" w:cs="Arial"/>
          <w:b/>
          <w:bCs/>
          <w:sz w:val="22"/>
          <w:szCs w:val="22"/>
        </w:rPr>
        <w:t xml:space="preserve">Graph 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spatial reasoning tasks, optimizing data flow and processing efficiency across heterogeneous environments with advanced techniques like </w:t>
      </w:r>
      <w:r w:rsidRPr="003813CA">
        <w:rPr>
          <w:rStyle w:val="span"/>
          <w:rFonts w:ascii="Arial" w:eastAsia="Century Gothic" w:hAnsi="Arial" w:cs="Arial"/>
          <w:b/>
          <w:bCs/>
          <w:sz w:val="22"/>
          <w:szCs w:val="22"/>
        </w:rPr>
        <w:t xml:space="preserve">Attention Mechanisms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t>
      </w:r>
      <w:r w:rsidRPr="003813CA">
        <w:rPr>
          <w:rStyle w:val="span"/>
          <w:rFonts w:ascii="Arial" w:eastAsia="Century Gothic" w:hAnsi="Arial" w:cs="Arial"/>
          <w:b/>
          <w:bCs/>
          <w:sz w:val="22"/>
          <w:szCs w:val="22"/>
        </w:rPr>
        <w:t xml:space="preserve">Transformer-based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temporal prediction; optimized scheduling and task management, enabling real-time data processing and ensuring highly available AI-driven solutions at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embedded systems and robotics teams to enhance </w:t>
      </w:r>
      <w:r w:rsidRPr="003813CA">
        <w:rPr>
          <w:rStyle w:val="span"/>
          <w:rFonts w:ascii="Arial" w:eastAsia="Century Gothic" w:hAnsi="Arial" w:cs="Arial"/>
          <w:b/>
          <w:bCs/>
          <w:sz w:val="22"/>
          <w:szCs w:val="22"/>
        </w:rPr>
        <w:t xml:space="preserve">multi-agent 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achieving improved efficiency in model training and agent coordination in logistics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by building end-to-end pipelines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model deployment and monitoring while ensuring alignment with industry standards and rapid iteration of ML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inference strategies, optimizing model performance for less than 100ms latency; utilized techniques such as </w:t>
      </w:r>
      <w:r w:rsidRPr="003813CA">
        <w:rPr>
          <w:rStyle w:val="span"/>
          <w:rFonts w:ascii="Arial" w:eastAsia="Century Gothic" w:hAnsi="Arial" w:cs="Arial"/>
          <w:b/>
          <w:bCs/>
          <w:sz w:val="22"/>
          <w:szCs w:val="22"/>
        </w:rPr>
        <w:t xml:space="preserve">quantization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feature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to refine model architecture, ensuring cohesive integration of </w:t>
      </w:r>
      <w:r w:rsidRPr="003813CA">
        <w:rPr>
          <w:rStyle w:val="span"/>
          <w:rFonts w:ascii="Arial" w:eastAsia="Century Gothic" w:hAnsi="Arial" w:cs="Arial"/>
          <w:b/>
          <w:bCs/>
          <w:sz w:val="22"/>
          <w:szCs w:val="22"/>
        </w:rPr>
        <w:t xml:space="preserve">graph 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RL algorithms for effective solution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innovate and adapt novel architectures within machine learning and robotics, fostering an environment that promotes experimentation and implementation of cutting-edge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infrastructures for agent interaction, leveraging </w:t>
      </w:r>
      <w:r w:rsidRPr="003813CA">
        <w:rPr>
          <w:rStyle w:val="span"/>
          <w:rFonts w:ascii="Arial" w:eastAsia="Century Gothic" w:hAnsi="Arial" w:cs="Arial"/>
          <w:b/>
          <w:bCs/>
          <w:sz w:val="22"/>
          <w:szCs w:val="22"/>
        </w:rPr>
        <w:t xml:space="preserve">historical ridehail coordination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synthetic scenarios to facilitate robust model learning and performance tuning.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ML predictions with real-world data inputs, enhancing edge AI systems through sensor fusion techniques, and allowing seamless interaction within heterogeneous agent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model monitoring, including </w:t>
      </w:r>
      <w:r w:rsidRPr="003813CA">
        <w:rPr>
          <w:rStyle w:val="span"/>
          <w:rFonts w:ascii="Arial" w:eastAsia="Century Gothic" w:hAnsi="Arial" w:cs="Arial"/>
          <w:b/>
          <w:bCs/>
          <w:sz w:val="22"/>
          <w:szCs w:val="22"/>
        </w:rPr>
        <w:t xml:space="preserve">drift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performance tracking, to ensure continuous improvement and reliability of deployed machine learning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technical leadership by mentoring teams on best practices in AI development, fostering growth in </w:t>
      </w:r>
      <w:r w:rsidRPr="003813CA">
        <w:rPr>
          <w:rStyle w:val="span"/>
          <w:rFonts w:ascii="Arial" w:eastAsia="Century Gothic" w:hAnsi="Arial" w:cs="Arial"/>
          <w:b/>
          <w:bCs/>
          <w:sz w:val="22"/>
          <w:szCs w:val="22"/>
        </w:rPr>
        <w:t xml:space="preserve">reinforcement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fostering innovative approaches to complex problems.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utilized AI coding assistants to enhance productivity and the development workflow, demonstrating adaptability in integrating AI tools into the research and prototyping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ensemble systems to enhance decision-making accuracy and robustness, promoting the use of </w:t>
      </w:r>
      <w:r w:rsidRPr="003813CA">
        <w:rPr>
          <w:rStyle w:val="span"/>
          <w:rFonts w:ascii="Arial" w:eastAsia="Century Gothic" w:hAnsi="Arial" w:cs="Arial"/>
          <w:b/>
          <w:bCs/>
          <w:sz w:val="22"/>
          <w:szCs w:val="22"/>
        </w:rPr>
        <w:t xml:space="preserve">diversity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in model outputs to counteract environmental uncertainties.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safety validations through established user feedback loops and conservative techniques, ensuring strong adherence to policy safety within autonomous systems at our current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high-fidelity </w:t>
      </w:r>
      <w:r w:rsidRPr="003813CA">
        <w:rPr>
          <w:rStyle w:val="span"/>
          <w:rFonts w:ascii="Arial" w:eastAsia="Century Gothic" w:hAnsi="Arial" w:cs="Arial"/>
          <w:b/>
          <w:bCs/>
          <w:sz w:val="22"/>
          <w:szCs w:val="22"/>
        </w:rPr>
        <w:t xml:space="preserve">simulation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safe policy explorations with practical implications for robotics integration and autonomous vehicle dynamics.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applications, enhancing project collaboration and data transparency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contract management processes and streamlined workflows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development of web-based applications utilizing advanced frameworks to enable effective project management solutions, enhancing user experience and minimizing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apply computational methodologies in planning and inspection contexts, advancing technological capabilities within traditional civil engineering projects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relational database design, supporting digital transformation initiatives that improved information flow across various stages of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analysis processes, leading to enhanced reporting capabilities and actionable insights for stakeholders in large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deployment and maintenance of web applications, ensuring they are aligned with business objectives and user needs through responsive design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 involvement in stakeholder meetings provided insights on technology integration for planning and bidding processes, fostering a strong collaborative atmosphere for achieving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innovative,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mobile technologies to streamline field operations and enhance efficiency across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software applications, ensuring compliance with industry standards and fostering a culture of continuous improvement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implementation of CI/CD practices to improve deployment frequencies, ensuring that all digital solutions could quickly adapt to changing business requirements and conditions within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GIS tools and platforms to enhance data visualizations for civil projects, transforming complex datasets into understandable formats for stakeholder engagement and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training materials that empowered team members to effectively utilize systems and applications, ensuring that technological transitions were smooth and user-friendly.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