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LLM evaluation, and safety intelligence. Strong background in red teaming, data analysis, and prompt design, holding a proactive approach toward adversarial thinking and AI safety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ML/AI Frameworks:</w:t>
      </w:r>
      <w:r w:rsidRPr="003813CA">
        <w:rPr>
          <w:rFonts w:ascii="Arial" w:eastAsia="Century Gothic" w:hAnsi="Arial" w:cs="Arial"/>
          <w:sz w:val="22"/>
          <w:szCs w:val="22"/>
        </w:rPr>
        <w:t xml:space="preserve"> TensorFlow, PyTorch, Keras, scikit-learn, Hugging Face Transformers, spaCy,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Evaluation Tools:</w:t>
      </w:r>
      <w:r w:rsidRPr="003813CA">
        <w:rPr>
          <w:rFonts w:ascii="Arial" w:eastAsia="Century Gothic" w:hAnsi="Arial" w:cs="Arial"/>
          <w:sz w:val="22"/>
          <w:szCs w:val="22"/>
        </w:rPr>
        <w:t xml:space="preserve"> TruthfulQA, MMLU, Factuality Evaluation, Red Teaming Tools, Evaluation Harness, Custom Truthsets, Benchmarking Frameworks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Azure, GCP, Docker, Kubernetes, Terraform,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Validation:</w:t>
      </w:r>
      <w:r w:rsidRPr="003813CA">
        <w:rPr>
          <w:rFonts w:ascii="Arial" w:eastAsia="Century Gothic" w:hAnsi="Arial" w:cs="Arial"/>
          <w:sz w:val="22"/>
          <w:szCs w:val="22"/>
        </w:rPr>
        <w:t xml:space="preserve"> Unit Testing, Integration Testing, Performance Testing, Behavioral Testing, Stress Testing, Security Testing, User Acceptance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w:t>
      </w:r>
      <w:r w:rsidRPr="003813CA">
        <w:rPr>
          <w:rStyle w:val="span"/>
          <w:rFonts w:ascii="Arial" w:eastAsia="Century Gothic" w:hAnsi="Arial" w:cs="Arial"/>
          <w:b/>
          <w:bCs/>
          <w:sz w:val="22"/>
          <w:szCs w:val="22"/>
        </w:rPr>
        <w:t xml:space="preserve">red teaming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LLM deployments, creating strategic prompts for stress-testing real-world applications and documenting critical </w:t>
      </w:r>
      <w:r w:rsidRPr="003813CA">
        <w:rPr>
          <w:rStyle w:val="span"/>
          <w:rFonts w:ascii="Arial" w:eastAsia="Century Gothic" w:hAnsi="Arial" w:cs="Arial"/>
          <w:b/>
          <w:bCs/>
          <w:sz w:val="22"/>
          <w:szCs w:val="22"/>
        </w:rPr>
        <w:t xml:space="preserve">behavioral exploits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scenarios, ensuring safety compliance for tech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evaluation designs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creating advanced truthsets and scoring methods focused on ethical standards, working collaboratively with safety and product teams to expand evaluation harnesses for LLMs.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stress tests using open and proprietary models like </w:t>
      </w:r>
      <w:r w:rsidRPr="003813CA">
        <w:rPr>
          <w:rStyle w:val="span"/>
          <w:rFonts w:ascii="Arial" w:eastAsia="Century Gothic" w:hAnsi="Arial" w:cs="Arial"/>
          <w:b/>
          <w:bCs/>
          <w:sz w:val="22"/>
          <w:szCs w:val="22"/>
        </w:rPr>
        <w:t xml:space="preserve">GPT-4</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systematically evaluating LLM performance under real-world scrutiny while ensuring adherence to safety protocols and detection logic.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enhance </w:t>
      </w:r>
      <w:r w:rsidRPr="003813CA">
        <w:rPr>
          <w:rStyle w:val="span"/>
          <w:rFonts w:ascii="Arial" w:eastAsia="Century Gothic" w:hAnsi="Arial" w:cs="Arial"/>
          <w:b/>
          <w:bCs/>
          <w:sz w:val="22"/>
          <w:szCs w:val="22"/>
        </w:rPr>
        <w:t xml:space="preserve">scoring rubrics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linked to factual accuracy and policy compliance, enabling effective benchmarking and improvement of Elloe’s AI safety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internal model comparisons and </w:t>
      </w:r>
      <w:r w:rsidRPr="003813CA">
        <w:rPr>
          <w:rStyle w:val="span"/>
          <w:rFonts w:ascii="Arial" w:eastAsia="Century Gothic" w:hAnsi="Arial" w:cs="Arial"/>
          <w:b/>
          <w:bCs/>
          <w:sz w:val="22"/>
          <w:szCs w:val="22"/>
        </w:rPr>
        <w:t xml:space="preserve">safety audits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blind spots and recommending improvements that fortified deployment strategies against potential AI malfunctions and safety gaps.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refining </w:t>
      </w:r>
      <w:r w:rsidRPr="003813CA">
        <w:rPr>
          <w:rStyle w:val="span"/>
          <w:rFonts w:ascii="Arial" w:eastAsia="Century Gothic" w:hAnsi="Arial" w:cs="Arial"/>
          <w:b/>
          <w:bCs/>
          <w:sz w:val="22"/>
          <w:szCs w:val="22"/>
        </w:rPr>
        <w:t xml:space="preserve">safety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measures, including proposing new scoring thresholds and red flags based on empirical evidence, enhancing the overall integrity of AI systems used in sensitive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with senior leaders, gaining insights and guidance on advanced safety practices in AI, while sharing innovative </w:t>
      </w:r>
      <w:r w:rsidRPr="003813CA">
        <w:rPr>
          <w:rStyle w:val="span"/>
          <w:rFonts w:ascii="Arial" w:eastAsia="Century Gothic" w:hAnsi="Arial" w:cs="Arial"/>
          <w:b/>
          <w:bCs/>
          <w:sz w:val="22"/>
          <w:szCs w:val="22"/>
        </w:rPr>
        <w:t xml:space="preserve">evaluation ideas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emerging technologies for the future.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findings from red teaming exercises and evaluation projects, contributing to standard operating procedures for safety intelligence that aligns with regulatory standards and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novel techniques in forensic risk mapping, improving deployment process traceability and elevating the significance of safety in LLM implementations across industries such as healthcare and finance.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a robust audit trail for LLM interactions, mapping error patterns and their implications on safety, ensuring stakeholders are informed of potential risks from deployment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discussions and workshops regarding AI safety, sharing insights and learning from peers to remain at the forefront of developments in </w:t>
      </w:r>
      <w:r w:rsidRPr="003813CA">
        <w:rPr>
          <w:rStyle w:val="span"/>
          <w:rFonts w:ascii="Arial" w:eastAsia="Century Gothic" w:hAnsi="Arial" w:cs="Arial"/>
          <w:b/>
          <w:bCs/>
          <w:sz w:val="22"/>
          <w:szCs w:val="22"/>
        </w:rPr>
        <w:t xml:space="preserve">ML/AI safety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w:t>
      </w:r>
      <w:r w:rsidRPr="003813CA">
        <w:rPr>
          <w:rStyle w:val="span"/>
          <w:rFonts w:ascii="Arial" w:eastAsia="Century Gothic" w:hAnsi="Arial" w:cs="Arial"/>
          <w:b/>
          <w:bCs/>
          <w:sz w:val="22"/>
          <w:szCs w:val="22"/>
        </w:rPr>
        <w:t xml:space="preserve">organizational culture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advocating for a proactive safety mindset, promoting awareness of the critical nature of responsible AI and ethical considerations in its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research participants to document qualitative feedback on LLM deployments and incorporate this data into future evaluation and risk assessment strategies, refining approaches for maximum efficacy.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reports and presentations that effectively communicated findings and recommendations to stakeholders, fostering an understanding of risks and promoting informed decision-making regarding LLM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collaborative workshops that addressed potential </w:t>
      </w:r>
      <w:r w:rsidRPr="003813CA">
        <w:rPr>
          <w:rStyle w:val="span"/>
          <w:rFonts w:ascii="Arial" w:eastAsia="Century Gothic" w:hAnsi="Arial" w:cs="Arial"/>
          <w:b/>
          <w:bCs/>
          <w:sz w:val="22"/>
          <w:szCs w:val="22"/>
        </w:rPr>
        <w:t xml:space="preserve">adversarial threats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 safety, creating a platform for proactive discussions on limitations and innovative solutions to mitigate these risks.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w:t>
      </w:r>
      <w:r w:rsidRPr="003813CA">
        <w:rPr>
          <w:rStyle w:val="span"/>
          <w:rFonts w:ascii="Arial" w:eastAsia="Century Gothic" w:hAnsi="Arial" w:cs="Arial"/>
          <w:b/>
          <w:bCs/>
          <w:sz w:val="22"/>
          <w:szCs w:val="22"/>
        </w:rPr>
        <w:t xml:space="preserve">evaluation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aligned with regulatory compliance standards and operational protocols, facilitating the successful execution of major projects in the Civil IT and AI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and implement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management projects, proactively identifying safety benchmarks and testing methods to ensure robust software performance and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data analytics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operations, effectively reducing risks associated with construction management through improved project oversight and paperless contracting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collaborations with civil engineers to address compliance issues, offering technical solutions that facilitated seamless project execution while adhering to best practices in software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performance metrics, allowing for data-driven decisions that optimized resource allocation and enhanced overall procedural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project management tools tailored specifically for civil engineering applications, ensuring ease of use and promoting effective team collaboration across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quality assurance measures that prioritized compliance and safety, regularly conducting audits and assessments to verify alignment with established technical standards and operational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integrating user experience design into software development processes, enhancing the usability of digital solutions provided to civil engineering clients, contributing to overall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infrastructure to develop collaborative environments that facilitated remote project management, encouraging efficiency and adaptability within teams working across various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through technology consultations, offering insights on the digital transformation of traditional construction methodologies, ensuring successful adoption of innovative practices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workflow improvements through </w:t>
      </w:r>
      <w:r w:rsidRPr="003813CA">
        <w:rPr>
          <w:rStyle w:val="span"/>
          <w:rFonts w:ascii="Arial" w:eastAsia="Century Gothic" w:hAnsi="Arial" w:cs="Arial"/>
          <w:b/>
          <w:bCs/>
          <w:sz w:val="22"/>
          <w:szCs w:val="22"/>
        </w:rPr>
        <w:t xml:space="preserve">automated 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opportunities for adopting new technologies that ultimately improved project delivery times and client interaction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risk management strategies by employing </w:t>
      </w:r>
      <w:r w:rsidRPr="003813CA">
        <w:rPr>
          <w:rStyle w:val="span"/>
          <w:rFonts w:ascii="Arial" w:eastAsia="Century Gothic" w:hAnsi="Arial" w:cs="Arial"/>
          <w:b/>
          <w:bCs/>
          <w:sz w:val="22"/>
          <w:szCs w:val="22"/>
        </w:rPr>
        <w:t xml:space="preserve">predictive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projects, leading to the formulation of actionable insights that improved project viability and stakeholder confidence.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