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developing web and mobile applications, specializing in TypeScript, React, and distributed systems design, seeking to leverage expertise as a Founding Engineer.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Vercel AI SDK, Mastra, Langfuse, Datadog, OpenAI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automation processes in an enterprise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technical strategy for system design,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 choices, improving performance and observability of the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 Workers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customers to translate business requirements into scalable solutions, leveraging an in-depth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to action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and automating workflows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and maintained infrastructure for sustainable and resilient operations,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 AI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loop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platform remains at the forefront of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integration and deployment, streamlining workflows and reducing deployment times through efficient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open-source projects that align with company goals, showcasing ownership and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founder mentality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addressing complex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modular development and easier maintenance of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through rigorous performance testing and monitoring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Langfuse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operation of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maintain high-quality code standards and foster a culture of knowledge sharing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both end-users and developers on integrating and utilizing the platform effectively, bridging gaps between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junior developers on best practices in coding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skill development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flow architectures that improve system efficiency,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communication protocols for effective data exchange within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development, emphasizing adaptability, iterative progress, and close collaboration with stakeholders to meet evolving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user-friendly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closely with clients in the civil IT sector to understand project requirements and deliver tailored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optimizing performance for planning and bidding processes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bringing expertise in database architecture to successfully execute large-scale enterprise projects catering to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ensuring efficient and scalable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deployment cycles and reducing time to market for application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direction on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focusing on delivering high-quality features aligned with user expectations and market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distributed system techniques to enhance application performance, ensuring robust data handling and processing during peak operational periods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data visualization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better understand project data through intuitive interfaces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grasp their needs thoroughly, providing strategic insights based on technical expertise to foster strong relationships and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capabilities to enhance the functionality and usability of legacy systems, facilitating easy transitions to new technologies for longstanding clients including construction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enrich application features and user experiences, showcasing adaptability and a keen awareness of industry tools and libraries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software performance across various applications through debugging and refactoring, ensuring all client projects operated efficiently and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