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Engineer with over 11 years of experience in software development, specializing in web and mobile applications. Proven expertise in building and deploying AI systems and vision pipelines leveraging common industry frameworks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PyTorch, TensorFlow, scikit-learn, OpenCV,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Databases:</w:t>
      </w:r>
      <w:r w:rsidRPr="003813CA">
        <w:rPr>
          <w:rFonts w:ascii="Arial" w:eastAsia="Century Gothic" w:hAnsi="Arial" w:cs="Arial"/>
          <w:sz w:val="22"/>
          <w:szCs w:val="22"/>
        </w:rPr>
        <w:t xml:space="preserve"> Neo4j, PostgreSQL, MongoDB, Apache Kafka,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 Design &amp; Architecture:</w:t>
      </w:r>
      <w:r w:rsidRPr="003813CA">
        <w:rPr>
          <w:rFonts w:ascii="Arial" w:eastAsia="Century Gothic" w:hAnsi="Arial" w:cs="Arial"/>
          <w:sz w:val="22"/>
          <w:szCs w:val="22"/>
        </w:rPr>
        <w:t xml:space="preserve"> Microservices, Graph Databases, State Machines, Event-Driven Architecture, Distributed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LangGraph, PydanticAI, Docker, Kubernetes, Jupyter Notebook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vision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efficiently extract structural elements and spatial relations from complex engineering diagrams, improving operational workflows for infrastructure projects in diverse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agentic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decomposing complex pre-construction tasks into manageable and verifiable steps, significantly enhancing team productivity and project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r w:rsidRPr="003813CA">
        <w:rPr>
          <w:rStyle w:val="span"/>
          <w:rFonts w:ascii="Arial" w:eastAsia="Century Gothic" w:hAnsi="Arial" w:cs="Arial"/>
          <w:b/>
          <w:bCs/>
          <w:sz w:val="22"/>
          <w:szCs w:val="22"/>
        </w:rPr>
        <w:t xml:space="preserve">human-in-the-loop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effectively capture expert feedback, ensuring ongoing system improvements in correctness and user satisfaction in high-stakes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end-to-end solutions that transform raw inputs into structured outputs used in production, leveraging industry-standard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ensuring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iterate on product features, maintaining a strong emphasis on clean code, architecture quality, and system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and mentored junior engineers on best practices in </w:t>
      </w:r>
      <w:r w:rsidRPr="003813CA">
        <w:rPr>
          <w:rStyle w:val="span"/>
          <w:rFonts w:ascii="Arial" w:eastAsia="Century Gothic" w:hAnsi="Arial" w:cs="Arial"/>
          <w:b/>
          <w:bCs/>
          <w:sz w:val="22"/>
          <w:szCs w:val="22"/>
        </w:rPr>
        <w:t xml:space="preserve">AI system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collaboration and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trends in </w:t>
      </w:r>
      <w:r w:rsidRPr="003813CA">
        <w:rPr>
          <w:rStyle w:val="span"/>
          <w:rFonts w:ascii="Arial" w:eastAsia="Century Gothic" w:hAnsi="Arial" w:cs="Arial"/>
          <w:b/>
          <w:bCs/>
          <w:sz w:val="22"/>
          <w:szCs w:val="22"/>
        </w:rPr>
        <w:t xml:space="preserve">multimodal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open-source </w:t>
      </w:r>
      <w:r w:rsidRPr="003813CA">
        <w:rPr>
          <w:rStyle w:val="span"/>
          <w:rFonts w:ascii="Arial" w:eastAsia="Century Gothic" w:hAnsi="Arial" w:cs="Arial"/>
          <w:b/>
          <w:bCs/>
          <w:sz w:val="22"/>
          <w:szCs w:val="22"/>
        </w:rPr>
        <w:t xml:space="preserve">VLMs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capabilities and integrating cutting-edge technologies into established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state machines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management and processing efficiency, aligning technical solutions with strategic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maintainability of the codebase by adhering to rigorous coding standards and guidelines, minimizing technical debt while addressing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 system design to facilitate rapid prototyping and testing of complex AI algorithms, fundamentally enhancing the reliability of predictions and decisions made by the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align development initiatives with business objectives, demonstrating adaptability and strategic foresight in technology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sharing sessions to disseminate insights on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system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positively influencing team capabilities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optimize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machine learning deployments, significantly reducing time-to-delivery for new features and system updates.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advanced </w:t>
      </w:r>
      <w:r w:rsidRPr="003813CA">
        <w:rPr>
          <w:rStyle w:val="span"/>
          <w:rFonts w:ascii="Arial" w:eastAsia="Century Gothic" w:hAnsi="Arial" w:cs="Arial"/>
          <w:b/>
          <w:bCs/>
          <w:sz w:val="22"/>
          <w:szCs w:val="22"/>
        </w:rPr>
        <w:t xml:space="preserve">document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civil engineering projects, enhancing the accuracy of planning and design phases through intelligent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streamline bidding processes in large-scale construction projects, improving the efficiency and accuracy of bid evaluations across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and back-end systems that facilitate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communication among stakeholders involved in different phases of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different </w:t>
      </w:r>
      <w:r w:rsidRPr="003813CA">
        <w:rPr>
          <w:rStyle w:val="span"/>
          <w:rFonts w:ascii="Arial" w:eastAsia="Century Gothic" w:hAnsi="Arial" w:cs="Arial"/>
          <w:b/>
          <w:bCs/>
          <w:sz w:val="22"/>
          <w:szCs w:val="22"/>
        </w:rPr>
        <w:t xml:space="preserve">data ingestion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quality control in planning documentation, ensuring integrity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professionals to translate complex technical requirements into actionable software development tasks, fostering strong interdepartmental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management tools by integrating automated workflows and </w:t>
      </w:r>
      <w:r w:rsidRPr="003813CA">
        <w:rPr>
          <w:rStyle w:val="span"/>
          <w:rFonts w:ascii="Arial" w:eastAsia="Century Gothic" w:hAnsi="Arial" w:cs="Arial"/>
          <w:b/>
          <w:bCs/>
          <w:sz w:val="22"/>
          <w:szCs w:val="22"/>
        </w:rPr>
        <w:t xml:space="preserve">AI-driven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paperless contracting solutions made for efficiency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robust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for real-time analytics in construction management tools, leveraging state-of-the-art technologies to support dynamic decision-making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