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technical leader with 11 years of experience in software development, specializing in web and mobile applications. Proven expertise in managing multidisciplinary engineering teams, enhancing operational readiness, and implementing best engineering practices in data center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C++, JavaScript, Rust,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Flask, Django, React,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Terraform, Ansible,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OpenStack, Kubernetes,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Center Technologies:</w:t>
      </w:r>
      <w:r w:rsidRPr="003813CA">
        <w:rPr>
          <w:rFonts w:ascii="Arial" w:eastAsia="Century Gothic" w:hAnsi="Arial" w:cs="Arial"/>
          <w:sz w:val="22"/>
          <w:szCs w:val="22"/>
        </w:rPr>
        <w:t xml:space="preserve"> HPC, AI Infrastructure, Networking, Power Distribution, UPS, Cooling Systems, Infrastructure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Management:</w:t>
      </w:r>
      <w:r w:rsidRPr="003813CA">
        <w:rPr>
          <w:rFonts w:ascii="Arial" w:eastAsia="Century Gothic" w:hAnsi="Arial" w:cs="Arial"/>
          <w:sz w:val="22"/>
          <w:szCs w:val="22"/>
        </w:rPr>
        <w:t xml:space="preserve"> Prometheus, Grafana, Nagios, Splunk, Zabbix,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strategy for AI-focused data center solutions, integrating </w:t>
      </w:r>
      <w:r w:rsidRPr="003813CA">
        <w:rPr>
          <w:rStyle w:val="span"/>
          <w:rFonts w:ascii="Arial" w:eastAsia="Century Gothic" w:hAnsi="Arial" w:cs="Arial"/>
          <w:b/>
          <w:bCs/>
          <w:sz w:val="22"/>
          <w:szCs w:val="22"/>
        </w:rPr>
        <w:t xml:space="preserve">HPC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with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facilitating innovative design, and operational oversight to enhance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establishment of engineering standards for mission-critical facilities, ensuring adherence to best practices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operational readiness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reliability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interdisciplinary teams during concept development and design review phases, driving strategic alignment with industry standards and fostering a culture of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cooling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w:t>
      </w:r>
      <w:r w:rsidRPr="003813CA">
        <w:rPr>
          <w:rStyle w:val="span"/>
          <w:rFonts w:ascii="Arial" w:eastAsia="Century Gothic" w:hAnsi="Arial" w:cs="Arial"/>
          <w:b/>
          <w:bCs/>
          <w:sz w:val="22"/>
          <w:szCs w:val="22"/>
        </w:rPr>
        <w:t xml:space="preserve">power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high-density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workloads, successfully reducing energy consumption and improving system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design guidance for state-of-the-art facilities, focusing on reliability, maintainability, and scalability while integrating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future-proof data center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led multidisciplinary engineering teams, cultivating a performance-driven environment and mentoring engineering staff, which strengthened technical competencies and ensured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in </w:t>
      </w:r>
      <w:r w:rsidRPr="003813CA">
        <w:rPr>
          <w:rStyle w:val="span"/>
          <w:rFonts w:ascii="Arial" w:eastAsia="Century Gothic" w:hAnsi="Arial" w:cs="Arial"/>
          <w:b/>
          <w:bCs/>
          <w:sz w:val="22"/>
          <w:szCs w:val="22"/>
        </w:rPr>
        <w:t xml:space="preserve">mission-critical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participated in strategic growth initiatives to drive technology differentiation and infrastructure expansion, positioning the company for long-term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executive-level discussions with clients regarding technical capabilities and design solutions, effectively communicating complex engineering concepts and establishing trust to facilitate successful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execution of maintenance strategies and engineering governance protocols, focusing on </w:t>
      </w:r>
      <w:r w:rsidRPr="003813CA">
        <w:rPr>
          <w:rStyle w:val="span"/>
          <w:rFonts w:ascii="Arial" w:eastAsia="Century Gothic" w:hAnsi="Arial" w:cs="Arial"/>
          <w:b/>
          <w:bCs/>
          <w:sz w:val="22"/>
          <w:szCs w:val="22"/>
        </w:rPr>
        <w:t xml:space="preserve">infrastructure performance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operational efficiency across multiple 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utilities and vendors to align engineering design with operational requirements, ensuring robust infrastructure capable of supporting high-density compute environments and long-term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insights on best practices in </w:t>
      </w:r>
      <w:r w:rsidRPr="003813CA">
        <w:rPr>
          <w:rStyle w:val="span"/>
          <w:rFonts w:ascii="Arial" w:eastAsia="Century Gothic" w:hAnsi="Arial" w:cs="Arial"/>
          <w:b/>
          <w:bCs/>
          <w:sz w:val="22"/>
          <w:szCs w:val="22"/>
        </w:rPr>
        <w:t xml:space="preserve">data center commissioning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extensive knowledge in construction phases to mitigate risks and enhance overall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senior technical authority in crossover client projects, facilitating a seamless approach to integrating advanced infrastructure solutions tailored to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 project stakeholders to anticipate potential engineering challenges, leveraging a proactive approach to mitigate risks and ensure successful operational performance post-handover.*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loops and performance data to iterate on design improvements, ensuring continuous enhancement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capabilities and maintaining competitive advantage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in training and development for emerging technologies, fostering a culture of learning and innovation that empowered engineering teams to adapt to rapid technological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implemented digital solutions for civil IT applications, focusing on planning, bidding, and construction management, streamlining processes while enhancing operational effectiveness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develop enterprise-level applications that supported infrastructure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database management to facilitate efficient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transform traditional inspection methods into paperless contracting solutions, leveraging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mobile applications to foster real-time communication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identify project requirements and provide scalable solutions using design patterns that ensured flexibility and long-term support in software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project workflows, improving team collaboration and adapting to changing client specifications while ensuring timely delivery of high-quality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 models for complex infrastructure projects, facilitating effective reporting and management of metrics through interactive dashboards powered by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testing and debugging processes, ensuring that all applications met stringent quality assurance standards and were optimized for wide-scale deployment and operation.*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knowledge sharing among team members through workshops and training sessions on best practices concerning new advancements in digital solutions for civil engineering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client-focused meetings for project briefings, translating technical insights into business opportunities that highlighted the advantages of digital systems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features that enhanced user engagement and accessibility in web applications, resulting in improved client satisfaction and retention due to superior digital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practices,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and enhance code quality through automated testing practices across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detailing system requirements and user guides, facilitating a smoother onboarding experience for clients and project teams engaging with newly developed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