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 Lead with 11 years of experience in software development emphasizing full-stack web applications. Expertise in Generative AI, Agile methodologies, mentoring, and developing scalable solutions using Azure and advanced DevOps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TypeScript, Java, HTML/CSS,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ASP.NET, Angular, Node.js, Django, Flask, .NET Core,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OpenAI APIs, Azure DevOps, GitHub Copilot, Pinecone, Cosmos 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Generative AI, LangChain, Semantic Kernel, RAG, Machine Learning, Natural Language Processing, Deep Learning, Model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CI/CD, Visual Studio, JetBrains IDEs,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adherence to enterprise architecture standards, enhancing application performance and supporting numerous stakeholders’ needs in line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existing applications, driving innovation and operational excellence; established governance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 across the engineering team, enhancing productivity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 in Agile practices, focusing on continuous improvement and fostering a culture of collaboration and accountability while achieving high-quality code reviews and best practices in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Retrieval-Augmented Generation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pipelines incorporating vector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Pinecone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ground AI model outputs in verified content, enhancing reliability and usability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lunch-and-learn sessions to boost the team’s fluency with AI tooling and facilitate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enabling seamless integration into daily workflows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develop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AI-enabled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product backlogs and ensuring alignment with users’ requirements while optimizing workflow efficiency through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mapped high-value AI opportunities across the organization, initiating projects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pioneer innovative solutions directly tied to LSAC's mission of advancing equity in legal education.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enhancing application responsiveness and scalability, leveraging serverless architecture that resulted in reduced overhead and improved deployment cycles while maintaining high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system documentation following best practices to aid in operational maintenance and troubleshooting, ensuring the continued support of backend systems and architectural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the development lifecycle, integrating CI/CD methodologies which facilitated frequent updates and streamlined releases of application features based on stakeholders'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hands-on change agent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adoption, identifying barriers to implementation and iteratively refining training programs to elevate the team’s competency and confidence in using AI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formulation of policies for responsible AI usage, ensuring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LSAC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governance standards including compliance with safety controls, bias evaluations, and content filtering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advocate for developer needs and provide technical guidance, thereby resolving critical technical dependencies and enhancing project delivery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debugging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empowering engineers to effectively utilize AI-generated insights to streamline development processes and address errors more intuitively.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initiative to establish organizational standards for AI-backed code review processes, contributing to a meaningful reduction in security risks and enhancing code quality through thorough assessments.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enterprise-level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user engagement and functionality enhancements aimed at improving stakeholder satisfaction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teams, encouraging iterative development and responsiveness to customer feedback while maintaining high performance standards across projects focused on digital solutions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to enhance system reliability and ensure scalable architecture suitable for high-demand applications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requirements, design solutions, and prototype applications such as construction management systems, resulting in improved operational efficiencies and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robust data management and integrity for applications used in planning and bidding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APIs, enhancing the connectivity and functionality of applications, thus enriching user experiences in the contract management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mentoring of junior developers to elevate the team’s technical acumen, fostering an environment of learning and collaboration that improved overall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various training sessions for stakeholders on using developed applications and tools, enhancing their confidence and skills while promoting the adoption of technology solutions for operational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test plans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performance of web applications and mitigate defects before deployment, contributing significantly to software quality practices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data-driven decision making by analyzing application performance metrics and user feedback, leading to actionable insights for future improvements and refinements in application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application accessibility in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Content Accessibility Guidelines (WCAG)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satisfaction across varied demographics interacting with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development processes by employing CI/CD paradigms to optimize release cycles for software updates, directly benefiting the overall throughput and responsiveness of project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