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Director of Engineering with over 11 years of experience in software development and engineering leadership, specializing in building AI platforms and data engineering capabilities. Proven expertise in leading distributed teams while driving innovation in automation, intelligent workflows, and data governance. Strong background in enabling AI-first capabilities across regulated environments such as healthcare, ensuring data quality and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SQL,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Hadoop, Kafka, Airflow, Snowflake, Tableau, AWS Glue,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H2O.ai, XGBoost, NLTK,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Terraform, Git, Ansible,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Project Management:</w:t>
      </w:r>
      <w:r w:rsidRPr="003813CA">
        <w:rPr>
          <w:rFonts w:ascii="Arial" w:eastAsia="Century Gothic" w:hAnsi="Arial" w:cs="Arial"/>
          <w:sz w:val="22"/>
          <w:szCs w:val="22"/>
        </w:rPr>
        <w:t xml:space="preserve"> JIRA, Confluence, Slack, Trello, Asana, Microsoft Teams, Zoom, Google Workspace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Director of Engineering</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evolved the AI Platform, defining shared data semantics and quality standards necessary for enabling </w:t>
      </w:r>
      <w:r w:rsidRPr="003813CA">
        <w:rPr>
          <w:rStyle w:val="span"/>
          <w:rFonts w:ascii="Arial" w:eastAsia="Century Gothic" w:hAnsi="Arial" w:cs="Arial"/>
          <w:b/>
          <w:bCs/>
          <w:sz w:val="22"/>
          <w:szCs w:val="22"/>
        </w:rPr>
        <w:t xml:space="preserve">AI-first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across distributed teams within Blend360, significantly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w:t>
      </w:r>
      <w:r w:rsidRPr="003813CA">
        <w:rPr>
          <w:rStyle w:val="span"/>
          <w:rFonts w:ascii="Arial" w:eastAsia="Century Gothic" w:hAnsi="Arial" w:cs="Arial"/>
          <w:b/>
          <w:bCs/>
          <w:sz w:val="22"/>
          <w:szCs w:val="22"/>
        </w:rPr>
        <w:t xml:space="preserve">AI-ready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interfaces and APIs, empowering product teams to intelligently consume and augment data while ensuring compliance with regulatory standards such as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governance guardrails to ensure all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operated on consistent, trusted data, directly resulting in improved automation processes and decision-making capabilities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architecture, and data teams to align platform capabilities with business needs, fostering cross-functional collaboration that drove innovative </w:t>
      </w:r>
      <w:r w:rsidRPr="003813CA">
        <w:rPr>
          <w:rStyle w:val="span"/>
          <w:rFonts w:ascii="Arial" w:eastAsia="Century Gothic" w:hAnsi="Arial" w:cs="Arial"/>
          <w:b/>
          <w:bCs/>
          <w:sz w:val="22"/>
          <w:szCs w:val="22"/>
        </w:rPr>
        <w:t xml:space="preserve">AI-driven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intelligent automation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 for data quality and platform adoption to drive accountability and continuous improvement, promoting a culture of excellence among senior engineers and managers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strategy for the </w:t>
      </w:r>
      <w:r w:rsidRPr="003813CA">
        <w:rPr>
          <w:rStyle w:val="span"/>
          <w:rFonts w:ascii="Arial" w:eastAsia="Century Gothic" w:hAnsi="Arial" w:cs="Arial"/>
          <w:b/>
          <w:bCs/>
          <w:sz w:val="22"/>
          <w:szCs w:val="22"/>
        </w:rPr>
        <w:t xml:space="preserve">AI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technical direction that scaled AI foundations across teams and set company-wide standards for data semantics and </w:t>
      </w:r>
      <w:r w:rsidRPr="003813CA">
        <w:rPr>
          <w:rStyle w:val="span"/>
          <w:rFonts w:ascii="Arial" w:eastAsia="Century Gothic" w:hAnsi="Arial" w:cs="Arial"/>
          <w:b/>
          <w:bCs/>
          <w:sz w:val="22"/>
          <w:szCs w:val="22"/>
        </w:rPr>
        <w:t xml:space="preserve">AI readiness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senior engineers, ensuring alignment with the company's mission of diversity and inclusion while focusing on delivering high-quality engineering outcomes and fostering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statistical and analytical tools to track </w:t>
      </w:r>
      <w:r w:rsidRPr="003813CA">
        <w:rPr>
          <w:rStyle w:val="span"/>
          <w:rFonts w:ascii="Arial" w:eastAsia="Century Gothic" w:hAnsi="Arial" w:cs="Arial"/>
          <w:b/>
          <w:bCs/>
          <w:sz w:val="22"/>
          <w:szCs w:val="22"/>
        </w:rPr>
        <w:t xml:space="preserve">system health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platform performance, ensuring seamless integration of </w:t>
      </w:r>
      <w:r w:rsidRPr="003813CA">
        <w:rPr>
          <w:rStyle w:val="span"/>
          <w:rFonts w:ascii="Arial" w:eastAsia="Century Gothic" w:hAnsi="Arial" w:cs="Arial"/>
          <w:b/>
          <w:bCs/>
          <w:sz w:val="22"/>
          <w:szCs w:val="22"/>
        </w:rPr>
        <w:t xml:space="preserve">automated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friction in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self-service data access capabilities for downstream teams by designing robust solutions that improved efficiency in data handling and utilization across various business units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trends in AI and data engineering, recommending technologies and strategies that promoted innovation and efficiency, thus solidifying Blend360's role as a leader in intelligent automation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real-time data processing for decision-making using streaming frameworks, driving transformation in workflows as organizations increasingly relied on data-driven insights for operational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key stakeholders to continuously align the platform's development roadmap with business objectives, ensuring that technical solutions met evolving market demands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while integrating emerging technologies, ultimately enhancing the organizational framework supporting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build a collaborative environment for distributed teams, focusing on improved communication and knowledge sharing that advanced the overall company culture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a multi-year roadmap for enhancing the data platform, resulting in the deployment of scalable solutions that aligned with blend360's long-term strategic vision.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civil IT applications at Infotech, seamlessly integrating construction management features with data-driven workflows that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digital solutions for planning and bidding processes, ensuring the delivery of innovative technologies that met client requirements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execution, enhancing the team's ability to respond to changing client needs and ensuring timely delivery of high-quality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to support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processes in compliance with industry regulations and fostering greater transparency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data analytics capabilities within applications, providing teams with actionable insights through visualization tools while enhancing decision-making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improve data flow between resources and platforms, allowing for real-time updates and monitoring of construction projects and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assessments and performance evaluations, proactively identifying areas for improvement within Infotech's software offerings and enhancing user experiences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new technologies for engineers and project managers, promoting knowledge sharing and continuous improvement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environmental compliance teams to integrate best practices into digital solutions, ensuring all applications met regulatory standards specific to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through intuitive interfaces and improved user experiences, contributing to overall customer satisfaction and project success through innovative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adopted relevant technologies to stay competitive, ensuring Infotech's solutions remained at the forefront of digital advancements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resources effectively, driving successful project execution while maintaining focus on delivering high-quality results that aligned with client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