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in software development, focusing on creating scalable data pipelines, database management, and cloud technologies. Proficient in Azure Databricks, PySpark, and SQL, with a robust background in ETL/ELT processes and cloud data platforms. Committed to delivering reliable, governed data solutions and enhancing data accessibility for stakeholders across different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Azure Databricks, PySpark, SQL, Azure DevOps, Microsoft Fabric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and Modeling:</w:t>
      </w:r>
      <w:r w:rsidRPr="003813CA">
        <w:rPr>
          <w:rFonts w:ascii="Arial" w:eastAsia="Century Gothic" w:hAnsi="Arial" w:cs="Arial"/>
          <w:sz w:val="22"/>
          <w:szCs w:val="22"/>
        </w:rPr>
        <w:t xml:space="preserve"> ETL Processes, ELT Processes, Data Modeling, Data Warehousing,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CI/CD, Docker, Kubernetes,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data ingestion pipelines using </w:t>
      </w:r>
      <w:r w:rsidRPr="003813CA">
        <w:rPr>
          <w:rStyle w:val="span"/>
          <w:rFonts w:ascii="Arial" w:eastAsia="Century Gothic" w:hAnsi="Arial" w:cs="Arial"/>
          <w:b/>
          <w:bCs/>
          <w:sz w:val="22"/>
          <w:szCs w:val="22"/>
        </w:rPr>
        <w:t xml:space="preserve">Azure 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both internal and external data sources into the company’s multi-cloud data ecosystem and improving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efficient ETL/ELT processes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for analytics and reporting, which enabled stakeholders to make data-driven decisions and streamline operations using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establish data governance standards and practices, utilizing </w:t>
      </w:r>
      <w:r w:rsidRPr="003813CA">
        <w:rPr>
          <w:rStyle w:val="span"/>
          <w:rFonts w:ascii="Arial" w:eastAsia="Century Gothic" w:hAnsi="Arial" w:cs="Arial"/>
          <w:b/>
          <w:bCs/>
          <w:sz w:val="22"/>
          <w:szCs w:val="22"/>
        </w:rPr>
        <w:t xml:space="preserve">RBAC-based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 controls, ensuring data security, compliance, and regulatory requirements were met across data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models that supported complex analytics platforms, using hands-on experience with technologies including </w:t>
      </w:r>
      <w:r w:rsidRPr="003813CA">
        <w:rPr>
          <w:rStyle w:val="span"/>
          <w:rFonts w:ascii="Arial" w:eastAsia="Century Gothic" w:hAnsi="Arial" w:cs="Arial"/>
          <w:b/>
          <w:bCs/>
          <w:sz w:val="22"/>
          <w:szCs w:val="22"/>
        </w:rPr>
        <w:t xml:space="preserve">Azure 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major data storage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proactively detect and resolve data quality issues, thus enhancing the reliability and performance of data pipelines, fostering consistency in analytics outputs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security teams to ensure all data engineering practices aligned with the enterprise’s compliance framework, providing secure access and mitigated risks associated with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and CI/CD pipelines, significantly decreasing deployment times and increasing overall productivity of data engineering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data quality assessments and optimization reviews, employing strategies that reduced downtime and improved overall efficiency of the data infrastructure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workflows to replace manual data processes, integrating tools such as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that increased operational efficiency within the data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evaluation and adoption of new tools and technologies such as </w:t>
      </w:r>
      <w:r w:rsidRPr="003813CA">
        <w:rPr>
          <w:rStyle w:val="span"/>
          <w:rFonts w:ascii="Arial" w:eastAsia="Century Gothic" w:hAnsi="Arial" w:cs="Arial"/>
          <w:b/>
          <w:bCs/>
          <w:sz w:val="22"/>
          <w:szCs w:val="22"/>
        </w:rPr>
        <w:t xml:space="preserve">Microsoft Fabric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existing data environments and enhance capabilities in analytics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technical teams emphasizing proper data handling and governance standards, empowering them to adhere to best practices and improve overall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data engineering processes, which contributed to knowledge sharing within the team and supported onboarding efforts for new engineering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migrations using </w:t>
      </w:r>
      <w:r w:rsidRPr="003813CA">
        <w:rPr>
          <w:rStyle w:val="span"/>
          <w:rFonts w:ascii="Arial" w:eastAsia="Century Gothic" w:hAnsi="Arial" w:cs="Arial"/>
          <w:b/>
          <w:bCs/>
          <w:sz w:val="22"/>
          <w:szCs w:val="22"/>
        </w:rPr>
        <w:t xml:space="preserve">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minimal service disruption during transitions between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introduced innovative data processing techniques, fostering adaptability and continuous improvement within the data engineering workflows and contributing to the organization’s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batch and real-time data processing algorithms using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promoting agility in handling large datasets for analytical insights.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geospatial databases and applications to support digital solutions for planning and construction management, enhancing project tracking and reporting efficiency across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pipelines and integration solutions that brought together disparate data sources,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communication across platforms in civil technology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innovative digital workflow solutions that improved the efficiency of bidding and inspection processes, illustrating a blend of technical and operational understanding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from construction data, which improved real-time decision-making capabilities for project managers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digital transformation efforts through the introduction of cloud-based solutions for civil engineering projects, notably improving collaboration and reducing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of user requirements to define technical project specifications, ensuring that all developments aligned with the operational goals and regulatory standards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paperless contracting systems, significantly advancing the digitization of civil engineering processes and improving compliance management for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create scalable solutions that supported various civil engineering applications, thus enabling flexibility and modification without system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quality assurance protocols to ensure that all data management processes supplied accurate information to all stakeholders involved in civil engineering and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initiatives aimed at digitizing traditional workflows within the construction industry, contributing to the effectiveness of integrated project delivery and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sustainable IT practices within the organization, advocating for energy-efficient data management solutions that aligned with broader environmental responsibility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dashboards for project monitoring tools that facilitated enhanced user interaction, thereby promoting higher levels of engagement with civil project data.</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