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specializing in machine learning and AI solutions for healthcare. Proven ability to collaborate across disciplines, develop data models, and optimize analytics for clinical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C++, MATLAB, JavaScript, Julia,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ML:</w:t>
      </w:r>
      <w:r w:rsidRPr="003813CA">
        <w:rPr>
          <w:rFonts w:ascii="Arial" w:eastAsia="Century Gothic" w:hAnsi="Arial" w:cs="Arial"/>
          <w:sz w:val="22"/>
          <w:szCs w:val="22"/>
        </w:rPr>
        <w:t xml:space="preserve"> Machine Learning, Deep Learning, NLP, Statistical Analysis, Data Mining, Predictive Modeling, Clustering, Regression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D3.js, Matplotlib, Seaborn, Dash, Plotly, Excel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AWS, Azure, GCP, PostgreSQL, MySQL, MongoDB, Hadoop,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Scikit-learn, Apache Kafka, Flask, Django,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Methodologies:</w:t>
      </w:r>
      <w:r w:rsidRPr="003813CA">
        <w:rPr>
          <w:rFonts w:ascii="Arial" w:eastAsia="Century Gothic" w:hAnsi="Arial" w:cs="Arial"/>
          <w:sz w:val="22"/>
          <w:szCs w:val="22"/>
        </w:rPr>
        <w:t xml:space="preserve"> Agile, Lean Six Sigma, TQM, Git, JIRA,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automate clinical risk stratification processes, significantly enhancing decision-making efficiency and quality of care for patient management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of physiologists and data engineers to effectively integrate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clinical workflows, ensuring usability and practical relevance within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t>
      </w:r>
      <w:r w:rsidRPr="003813CA">
        <w:rPr>
          <w:rStyle w:val="span"/>
          <w:rFonts w:ascii="Arial" w:eastAsia="Century Gothic" w:hAnsi="Arial" w:cs="Arial"/>
          <w:b/>
          <w:bCs/>
          <w:sz w:val="22"/>
          <w:szCs w:val="22"/>
        </w:rPr>
        <w:t xml:space="preserve">dashboards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visualizations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analytics findings, facilitating informed decision-making among non-technical clinical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w:t>
      </w:r>
      <w:r w:rsidRPr="003813CA">
        <w:rPr>
          <w:rStyle w:val="span"/>
          <w:rFonts w:ascii="Arial" w:eastAsia="Century Gothic" w:hAnsi="Arial" w:cs="Arial"/>
          <w:b/>
          <w:bCs/>
          <w:sz w:val="22"/>
          <w:szCs w:val="22"/>
        </w:rPr>
        <w:t xml:space="preserve">predictive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early intervention strategies and improve patient outcomes by streamlining care coordination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statistical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validate model performance, ensuring efficacy and trustworthiness of AI solutions implemented in high-stakes clinical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optimization and governance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ensure robustness and alignment with healthcare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designed data architectures capable of processing disparate healthcare data sources, including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support dynamic clinical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education and change management processes to foster collaborative environments and enhance user acceptance of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clinical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with clinicians to iteratively refine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effectiveness and relevance to real-world clinical applications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extract insights from unstructured data sources, contributing to improved data-driven clinical decision-making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cross-functional workshops aimed at identifying workflow inefficiencies, leading to the development of targeted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tangible improvements in patient 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clinical leadership to cultivate trust and advocate for the adoption of innovative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to manage code versions and streamline the deployment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colleagues on best practices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ethical considerations of AI in the healthcare domain, fostering a culture of continuous learning and responsible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presentations to present complex analytical results to medical professionals, utilizing storytelling techniques to convey the significance of data-driven insights.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civil engineering projects at Infotech, contributing to increased project effectiveness and insights for planning and operational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that optimized construction management processes, supporting informed decision-making by leveraging analytics to reduce delays and improve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user-friendly </w:t>
      </w:r>
      <w:r w:rsidRPr="003813CA">
        <w:rPr>
          <w:rStyle w:val="span"/>
          <w:rFonts w:ascii="Arial" w:eastAsia="Century Gothic" w:hAnsi="Arial" w:cs="Arial"/>
          <w:b/>
          <w:bCs/>
          <w:sz w:val="22"/>
          <w:szCs w:val="22"/>
        </w:rPr>
        <w:t xml:space="preserve">data dashboards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civil engineers to provide quick access to key project insights and metrics, enhancing data-driven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aimed at digital transformation in civil IT, utilizing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integration and sharing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Lean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identify bottlenecks in traditional project workflows, leading to the implementation of data-driven solutions that improved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teams to ensure compliance and alignment with industry standards regarding the management and analysis of civil engineering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statistical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data, providing insights that led to enhanced bidding strategies and effective resource allocation, ultimately supporting smarter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comprehensive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using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project bidding process and improve stakeholder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analytical findings using </w:t>
      </w:r>
      <w:r w:rsidRPr="003813CA">
        <w:rPr>
          <w:rStyle w:val="span"/>
          <w:rFonts w:ascii="Arial" w:eastAsia="Century Gothic" w:hAnsi="Arial" w:cs="Arial"/>
          <w:b/>
          <w:bCs/>
          <w:sz w:val="22"/>
          <w:szCs w:val="22"/>
        </w:rPr>
        <w:t xml:space="preserve">PowerPoint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communicate the impact of proposed solutions and strategies on project timelines and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agile project management approach,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maintaining transparent communication among team members, fostering a collaborative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automated the analysis of construction project data, resulting in significant time savings and allowing teams to focus on high-impact decision-making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development workshops to share insights on emerging technologies applicable to civil IT, continuously enhancing collaborative innovation with peers.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