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cloud infrastructure, data pipelines, and machine learning solutions. Proven track record of optimizing performance and coaching teams in innovative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R,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Hadoop, Spark, MongoDB, PostgreSQL, ETL,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scikit-learn, Pandas, NumPy, Keras,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CI/CD, Git, TDD,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Services, GraphQL, SOAP, WebSockets, Swagger, API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cloud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workflows and enhance application scalability while ensuring compliance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extensive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efficient data flow from various sources to </w:t>
      </w:r>
      <w:r w:rsidRPr="003813CA">
        <w:rPr>
          <w:rStyle w:val="span"/>
          <w:rFonts w:ascii="Arial" w:eastAsia="Century Gothic" w:hAnsi="Arial" w:cs="Arial"/>
          <w:b/>
          <w:bCs/>
          <w:sz w:val="22"/>
          <w:szCs w:val="22"/>
        </w:rPr>
        <w:t xml:space="preserve">data warehouses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accessibility for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engineering, deploying models that optimized client operations through advanced predictive analytics and real-time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seamless integration between diverse data systems and client applications, thus enhancing interoperability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engineers in best practices for </w:t>
      </w:r>
      <w:r w:rsidRPr="003813CA">
        <w:rPr>
          <w:rStyle w:val="span"/>
          <w:rFonts w:ascii="Arial" w:eastAsia="Century Gothic" w:hAnsi="Arial" w:cs="Arial"/>
          <w:b/>
          <w:bCs/>
          <w:sz w:val="22"/>
          <w:szCs w:val="22"/>
        </w:rPr>
        <w:t xml:space="preserve">software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prioritized quality and innovation.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continuous improvements in </w:t>
      </w:r>
      <w:r w:rsidRPr="003813CA">
        <w:rPr>
          <w:rStyle w:val="span"/>
          <w:rFonts w:ascii="Arial" w:eastAsia="Century Gothic" w:hAnsi="Arial" w:cs="Arial"/>
          <w:b/>
          <w:bCs/>
          <w:sz w:val="22"/>
          <w:szCs w:val="22"/>
        </w:rPr>
        <w:t xml:space="preserve">software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resulting in enhanced code quality and reduced deployment risks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client needs and propose innovative technological solutions, effectively translating business requirements into actionable implementation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industry knowledge sharing sessions, presenting on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technologies to promote learning and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code review processes, identifying areas for improvement in scalability, security, and overall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simplify deployment processes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enhancing data accuracy and reliability across numerous databases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interacted with key stakeholders to align project objectives with business goals, ensuring comprehensive understanding of needs and effective solution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performance metrics and utilized monitoring tools to proactively identify bottlenecks within data systems and proposed effective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code libraries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redundancy and increase efficiency across the development team’s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business partners on the latest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engineering practices, reinforcing the team’s commitment to ongoing education and adaptability.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software solutions that catered to civil IT projects, integrating data management tools for planning and construction applications to enhance efficiency and communication among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digital solutions for project bidding and inspection processes, developing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workflows for construction management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database solutions tailored for civil engineering projects, ensuring that all data-driven decisions were based on accurate and timely information accessible through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data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better support the growing needs of civil IT applications, increasing the scalability of bidding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tests and integration tests to ensure the functionality of digital solutions, significantly reducing the number of post-deployment issues encountered by users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lead sprint planning and retrospectives, ensuring that project timelines and deliverables remained on track while adapting to changing business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civil engineers to integrate practical data solutions that supported field operations, ensuring a smooth transition from planning to execution stages of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