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technology leader with over 11 years in software development, specializing in AI architecture and implementation. Proven ability in designing scalable architectures and delivering production AI systems across cloud and on-premises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Go, C#, R, SQL,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Tools:</w:t>
      </w:r>
      <w:r w:rsidRPr="003813CA">
        <w:rPr>
          <w:rFonts w:ascii="Arial" w:eastAsia="Century Gothic" w:hAnsi="Arial" w:cs="Arial"/>
          <w:sz w:val="22"/>
          <w:szCs w:val="22"/>
        </w:rPr>
        <w:t xml:space="preserve"> TensorFlow, PyTorch, Keras, Scikit-learn, Hugging Face, OpenAI API, Kafka, Pandas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 Kubernetes, Docker, Terraform, Ansible,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Storage &amp; Retrieval:</w:t>
      </w:r>
      <w:r w:rsidRPr="003813CA">
        <w:rPr>
          <w:rFonts w:ascii="Arial" w:eastAsia="Century Gothic" w:hAnsi="Arial" w:cs="Arial"/>
          <w:sz w:val="22"/>
          <w:szCs w:val="22"/>
        </w:rPr>
        <w:t xml:space="preserve"> PostgreSQL, MongoDB, Redis, Elasticsearch, GraphQL, Apache Cassandra, DynamoDB, Vector DBs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Frameworks:</w:t>
      </w:r>
      <w:r w:rsidRPr="003813CA">
        <w:rPr>
          <w:rFonts w:ascii="Arial" w:eastAsia="Century Gothic" w:hAnsi="Arial" w:cs="Arial"/>
          <w:sz w:val="22"/>
          <w:szCs w:val="22"/>
        </w:rPr>
        <w:t xml:space="preserve"> Microservices, REST APIs, GraphQL APIs, Serverless Architecture, Event-Driven Architecture, Service Mesh, Domain-Driven Design, Model Serving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scalable AI architectures for customer use cases, ensuring alignment with </w:t>
      </w:r>
      <w:r w:rsidRPr="003813CA">
        <w:rPr>
          <w:rStyle w:val="span"/>
          <w:rFonts w:ascii="Arial" w:eastAsia="Century Gothic" w:hAnsi="Arial" w:cs="Arial"/>
          <w:b/>
          <w:bCs/>
          <w:sz w:val="22"/>
          <w:szCs w:val="22"/>
        </w:rPr>
        <w:t xml:space="preserve">enterprise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security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reliability, and adherence to responsible AI practices within the </w:t>
      </w:r>
      <w:r w:rsidRPr="003813CA">
        <w:rPr>
          <w:rStyle w:val="span"/>
          <w:rFonts w:ascii="Arial" w:eastAsia="Century Gothic" w:hAnsi="Arial" w:cs="Arial"/>
          <w:b/>
          <w:bCs/>
          <w:sz w:val="22"/>
          <w:szCs w:val="22"/>
        </w:rPr>
        <w:t xml:space="preserve">Dell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t>
      </w:r>
      <w:r w:rsidRPr="003813CA">
        <w:rPr>
          <w:rStyle w:val="span"/>
          <w:rFonts w:ascii="Arial" w:eastAsia="Century Gothic" w:hAnsi="Arial" w:cs="Arial"/>
          <w:b/>
          <w:bCs/>
          <w:sz w:val="22"/>
          <w:szCs w:val="22"/>
        </w:rPr>
        <w:t xml:space="preserve">implementation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AI software components including </w:t>
      </w:r>
      <w:r w:rsidRPr="003813CA">
        <w:rPr>
          <w:rStyle w:val="span"/>
          <w:rFonts w:ascii="Arial" w:eastAsia="Century Gothic" w:hAnsi="Arial" w:cs="Arial"/>
          <w:b/>
          <w:bCs/>
          <w:sz w:val="22"/>
          <w:szCs w:val="22"/>
        </w:rPr>
        <w:t xml:space="preserve">model serving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orchestration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retrieval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rapid deployment of AI initiatives tailored to business needs and technological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proofs-of-value (PoV) sprints, refining </w:t>
      </w:r>
      <w:r w:rsidRPr="003813CA">
        <w:rPr>
          <w:rStyle w:val="span"/>
          <w:rFonts w:ascii="Arial" w:eastAsia="Century Gothic" w:hAnsi="Arial" w:cs="Arial"/>
          <w:b/>
          <w:bCs/>
          <w:sz w:val="22"/>
          <w:szCs w:val="22"/>
        </w:rPr>
        <w:t xml:space="preserve">scope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requirements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rapidly building and iterating solutions to demonstrate clear business outcomes and stakeholder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AI Data Specialists to define and consume </w:t>
      </w:r>
      <w:r w:rsidRPr="003813CA">
        <w:rPr>
          <w:rStyle w:val="span"/>
          <w:rFonts w:ascii="Arial" w:eastAsia="Century Gothic" w:hAnsi="Arial" w:cs="Arial"/>
          <w:b/>
          <w:bCs/>
          <w:sz w:val="22"/>
          <w:szCs w:val="22"/>
        </w:rPr>
        <w:t xml:space="preserve">AI-ready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pipelines that support performance and reliability, ensuring all components integrate effectively into the overall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within the AI workload management process, consistently enhancing deployment frequencies and reliability while reducing issues in production environments through robust monitoring.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programming languages such as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high-quality solutions, enhancing overall team productivity and project alignment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shared responsibility for production readiness and early production stability, focusing on </w:t>
      </w:r>
      <w:r w:rsidRPr="003813CA">
        <w:rPr>
          <w:rStyle w:val="span"/>
          <w:rFonts w:ascii="Arial" w:eastAsia="Century Gothic" w:hAnsi="Arial" w:cs="Arial"/>
          <w:b/>
          <w:bCs/>
          <w:sz w:val="22"/>
          <w:szCs w:val="22"/>
        </w:rPr>
        <w:t xml:space="preserve">monitoring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performance optimization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issue resolution for production systems under high visibility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on best practices in </w:t>
      </w:r>
      <w:r w:rsidRPr="003813CA">
        <w:rPr>
          <w:rStyle w:val="span"/>
          <w:rFonts w:ascii="Arial" w:eastAsia="Century Gothic" w:hAnsi="Arial" w:cs="Arial"/>
          <w:b/>
          <w:bCs/>
          <w:sz w:val="22"/>
          <w:szCs w:val="22"/>
        </w:rPr>
        <w:t xml:space="preserve">AI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patterns, emphasizing the exploration of Dell's advanced AI capabilities and encouraging adherence to responsible AI governance measures.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documentation including technical specifications, runbooks, and knowledge transfer artifacts to support customer teams during the handover phase of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cross-functional collaboration with </w:t>
      </w:r>
      <w:r w:rsidRPr="003813CA">
        <w:rPr>
          <w:rStyle w:val="span"/>
          <w:rFonts w:ascii="Arial" w:eastAsia="Century Gothic" w:hAnsi="Arial" w:cs="Arial"/>
          <w:b/>
          <w:bCs/>
          <w:sz w:val="22"/>
          <w:szCs w:val="22"/>
        </w:rPr>
        <w:t xml:space="preserve">AI Strategists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Enterprise Architects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technical scope with desired business outcomes and ensuring that architectures meet client's strategic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travel to customer sites as needed to understand requirements firsthand, ensuring high levels of satisfaction and fostering strong client relationships through proactive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continuous feedback to improve internal processes, enhancing team agility and responsiveness to emerging trends in </w:t>
      </w:r>
      <w:r w:rsidRPr="003813CA">
        <w:rPr>
          <w:rStyle w:val="span"/>
          <w:rFonts w:ascii="Arial" w:eastAsia="Century Gothic" w:hAnsi="Arial" w:cs="Arial"/>
          <w:b/>
          <w:bCs/>
          <w:sz w:val="22"/>
          <w:szCs w:val="22"/>
        </w:rPr>
        <w:t xml:space="preserve">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industry shifts, reinforcing Dell's position as an industry leader.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promoted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culture within the team, improving collaboration between development and IT operations for a more efficient software development lifecycle and resulting in faster time-to-market for client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discussions with stakeholders to explain complex technical trade-offs in clear language, ensuring effective communication of ideas and concepts across diverse groups.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migration of legacy systems and workloads to </w:t>
      </w:r>
      <w:r w:rsidRPr="003813CA">
        <w:rPr>
          <w:rStyle w:val="span"/>
          <w:rFonts w:ascii="Arial" w:eastAsia="Century Gothic" w:hAnsi="Arial" w:cs="Arial"/>
          <w:b/>
          <w:bCs/>
          <w:sz w:val="22"/>
          <w:szCs w:val="22"/>
        </w:rPr>
        <w:t xml:space="preserve">cloud environments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balancing speed and security ensuring minimal disruption during transitions.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effective integration with stakeholders' requirements and compliance with industry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project teams to provide digital solutions for planning, bidding, and paperless contracting, enhancing operational efficiency and stakeholder satisfaction in the </w:t>
      </w:r>
      <w:r w:rsidRPr="003813CA">
        <w:rPr>
          <w:rStyle w:val="span"/>
          <w:rFonts w:ascii="Arial" w:eastAsia="Century Gothic" w:hAnsi="Arial" w:cs="Arial"/>
          <w:b/>
          <w:bCs/>
          <w:sz w:val="22"/>
          <w:szCs w:val="22"/>
        </w:rPr>
        <w:t xml:space="preserve">construction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integrations of diverse systems for maximum interoperability, using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principles and data governance frameworks to facilitate the flow of information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platform capabilities, ensuring systems were built to scale and could manage growing operational demands within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full software development lifecycle from requirements gathering to deployment while focusing on applications that intuitively support civil engineering workflows and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requirements and developed specifications for digital tools aimed at optimizing the bidding and inspection processes, ensuring clarity and increased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migration of existing legacy systems to modern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helping to secure high availability and disaster recovery capabilities for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in identifying system issues and led efforts to implement corrective action, enhancing software reliability while ensuring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data storage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efficient data retrieval and seamless data analysis across various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project timelines and deliverables, fostering a culture of rapid iterations and continuous improvement in product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training sessions aimed at elevating the team's knowledge of emerging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environment of continuous learning and adaptation.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user-friendly interfaces with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contributing to improved user experiences across civil IT applications while aligning functionalities to business requirements.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