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AI Platform Engineer with over 11 years of experience in software development, specializing in AI/ML applications, web and mobile application architecture, and innovative solutions for complex workflows. Proven expertise in building AI-powered agents, implementing Retrieval-Augmented Generation (RAG) solutions, and optimizing production systems for reliability and compliance. Strong collaboration with cross-functional teams to deliver impactful AI products to enhance organizational efficiency and support clinical research.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C++, R, TypeScript, Rust,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Hugging Face, scikit-learn, Keras, spaCy, NLTK, OpenAI 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Elasticsearch, Redis, Neo4j, Cassandra, Vector Databases, Knowledge Graphs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CI/CD, Jenkins, Apache Kafka, Flask, FastAPI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Test-Driven Development, Continuous Integration, Microservices, Observability, Monitoring &amp; Logging, DevOps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AI-powered agents to automate multi-step workflows, integrating with various internal tools and data sources to enhance operational efficiency and improve user experience across multiple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cutting-edge Retrieval-Augmented Generation (RAG) techniques to ground AI responses in reliable knowledge, ensuring that the solutions meet stringent compliance and safety standards for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API services and reusable components for the AI platform, facilitating seamless deployment and scalability of AI applications across the organization in accordance with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established evaluation frameworks measuring quality, accuracy, and safety of AI outputs, iterating upon findings to ensure continuous improvement of model performance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AI system performance in production, addressing critical issues related to latency and reliability while optimizing costs and user outcomes by leveraging cloud infrastructure and distributed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legal, security, and compliance, to ensure that all AI implementations adhered to governance frameworks and regulatory requirements across various jurisdictions.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detailed documentation covering system designs, operational standards, and best practices, and actively participated in code reviews to foster knowledge sharing and team collaboration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fine-tuning of datasets and model selection decisions, weighing between different approaches such as RAG, prompting, and fine-tuning for optimized outcomes in AI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guardrails and security controls to safeguard against typical AI vulnerabilities, emphasizing prompt injection resistance and sensitive data handling in alignment with organizational policies.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AI safety testing and red teaming approaches to uncover vulnerabilities within the AI systems, focusing on strengthening overall output behaviors and security measures.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observability tools to create comprehensive monitoring, logging, and alerting systems that provide insights into AI application performance and health metrics for proactive issue resolution.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 sharing sessions and technical workshops to disseminate information on advanced AI technologies and practices, thereby enhancing team capability and proficiency in AI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exploration of autonomous workflows and agent-based solutions to increase operational automation and efficiency within the company through innovative approaches to problem-solving.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researched and stayed current with advancements in AI safety principles, adapting industry best practices to develop responsible AI solutions that mitigate risks associated with AI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team environment that encouraged collaboration and innovation, driving meaningful contributions to key projects that support the overall mission of advancing clinical and operational technology.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software solutions that facilitate planning, bidding, and construction management processes leveraging digital technologies to create seamless user experiences in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web applications, optimizing backend service integration which allowed for real-time data processing and enhanced functionality in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engineering teams to deliver paperless contracting solutions that streamline documentation processes and improve project accountability and transparency.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advanced modeling techniques and database management practices to support construction inspections and maintain compliance with regulatory frameworks within operational environments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CI/CD pipelines for continuous integration and deployment of applications, ensuring a smooth transition from development to production with minimal downtime for critical civil IT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refining application performance through robust testing practices, achieving improvements in load times and resource consumption in applications utilized by construction management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sessions and created extensive documentation to facilitate the adoption of new technologies, ensuring end-users had the knowledge required to maximize tool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reusable components in compliance with enterprise architecture standards that significantly reduce the time required for deployment and maintenance of IT solutions across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meetings to gather requirements and design solutions tailored to specific project needs, employing CSS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interface aspects of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primary databases to ensure data integrity and availability while supporting robust reporting capabilities for construction and project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within development teams, effectively improving team productivity and project visibility while adapting to rapid project changes and feedback from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services for application deployment and scaling purposes, allowing for greater flexibility and efficiency in maintaining digital solutions for clients engaged in civil IT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