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over 11 years of experience in software development, focusing on web and mobile applications. Proven expertise in designing and optimizing robust infrastructures, enhancing automation levels, and implementing secure cloud-native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Serverless, Terraform,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TypeScript, JavaScript,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Integration:</w:t>
      </w:r>
      <w:r w:rsidRPr="003813CA">
        <w:rPr>
          <w:rFonts w:ascii="Arial" w:eastAsia="Century Gothic" w:hAnsi="Arial" w:cs="Arial"/>
          <w:sz w:val="22"/>
          <w:szCs w:val="22"/>
        </w:rPr>
        <w:t xml:space="preserve"> OpenAI API, LangChain, Pinecone, TensorFlow, Scikit-learn,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Terraform, CI/CD, Git, Jenkins, CircleCI,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IAM, Okta, Auth0, Cloud Security, Compliance Automation, Identity Governance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scalable infrastructures, enabling seamless model deployment pipelines for AI projects, ensuring high availability and responsiveness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security practices within CI/CD pipelines, focusing on enhancing product security and compliance through the application of best practices in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serverless architectures leveraging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performance and significantly reducing operational overhead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the </w:t>
      </w:r>
      <w:r w:rsidRPr="003813CA">
        <w:rPr>
          <w:rStyle w:val="span"/>
          <w:rFonts w:ascii="Arial" w:eastAsia="Century Gothic" w:hAnsi="Arial" w:cs="Arial"/>
          <w:b/>
          <w:bCs/>
          <w:sz w:val="22"/>
          <w:szCs w:val="22"/>
        </w:rPr>
        <w:t xml:space="preserve">Developer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creating self-service platforms facilitating efficient resource allocation and improved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advanced AI tools, specifically </w:t>
      </w:r>
      <w:r w:rsidRPr="003813CA">
        <w:rPr>
          <w:rStyle w:val="span"/>
          <w:rFonts w:ascii="Arial" w:eastAsia="Century Gothic" w:hAnsi="Arial" w:cs="Arial"/>
          <w:b/>
          <w:bCs/>
          <w:sz w:val="22"/>
          <w:szCs w:val="22"/>
        </w:rPr>
        <w:t xml:space="preserve">OpenAI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Pinecone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feature offerings and maintain leading-edge operational capability.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Infrastructure-as-Code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and infrastructure management processes across multiple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best-in-class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to uphold security protocols, ensuring </w:t>
      </w:r>
      <w:r w:rsidRPr="003813CA">
        <w:rPr>
          <w:rStyle w:val="span"/>
          <w:rFonts w:ascii="Arial" w:eastAsia="Century Gothic" w:hAnsi="Arial" w:cs="Arial"/>
          <w:b/>
          <w:bCs/>
          <w:sz w:val="22"/>
          <w:szCs w:val="22"/>
        </w:rPr>
        <w:t xml:space="preserve">least-privilege access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compliance monitoring through automated checks.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feedback, reducing time-to-production for software changes while enhancing overall quality and security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EventBridge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Pub/Sub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maintain high-scale asynchronous messaging systems that improved data processing workflows and system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high-impact projects using </w:t>
      </w:r>
      <w:r w:rsidRPr="003813CA">
        <w:rPr>
          <w:rStyle w:val="span"/>
          <w:rFonts w:ascii="Arial" w:eastAsia="Century Gothic" w:hAnsi="Arial" w:cs="Arial"/>
          <w:b/>
          <w:bCs/>
          <w:sz w:val="22"/>
          <w:szCs w:val="22"/>
        </w:rPr>
        <w:t xml:space="preserve">vector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AI feature management, significantly enhancing data retrieval speeds and optimizing performance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development of comprehensive monitoring solutions to proactively address system health and performance, minimizing incident response times and fostering a robust operational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implementation of compliance checks within </w:t>
      </w:r>
      <w:r w:rsidRPr="003813CA">
        <w:rPr>
          <w:rStyle w:val="span"/>
          <w:rFonts w:ascii="Arial" w:eastAsia="Century Gothic" w:hAnsi="Arial" w:cs="Arial"/>
          <w:b/>
          <w:bCs/>
          <w:sz w:val="22"/>
          <w:szCs w:val="22"/>
        </w:rPr>
        <w:t xml:space="preserve">Infrastructure-as-Code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security standards were embedded from initial development phases through to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effectively with stakeholders to gather requirements, adapt solutions swiftly, and deliver tailored automation tools leading to increased operational efficiency and reduced cognitive load for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strategies to integrate </w:t>
      </w:r>
      <w:r w:rsidRPr="003813CA">
        <w:rPr>
          <w:rStyle w:val="span"/>
          <w:rFonts w:ascii="Arial" w:eastAsia="Century Gothic" w:hAnsi="Arial" w:cs="Arial"/>
          <w:b/>
          <w:bCs/>
          <w:sz w:val="22"/>
          <w:szCs w:val="22"/>
        </w:rPr>
        <w:t xml:space="preserve">container 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fostering synergies among microservices within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for efficient resource use.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Exhibited leadership in driving innovation by adopting new technologies and methodologies, bolstering the organization's ability to stay competitive in evolving markets.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enterprise applications that streamlined operations in civil IT, offering support in digital solutions for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and maintained essential software solutions targeting construction management processes, ensuring all technological advancements adhered to regulatory standards for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robust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improve application responsiveness, catering to diverse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high-performance data interactions critical to integrated civil IT solutions, optimizing data retrieval and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cloud-native solutions, implementing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infrastructure, facilitating more efficient expense tracking and real-time project updates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collaboration to integrate technology solutions enhancing project visibility, resource allocation, and operational efficiency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deployment processes to assure superior quality assurance standards, employing methodologies that aligned with client-centric objectives in the civil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back-end services, focusing on high-performance and reliable service delivery using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for seamless data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for application protection, focusing on secure coding practices and compliance with data protection regulations in client-facing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development of internal tools to automate common tasks and streamline workflows, enhancing team productivity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successfully leading sprints and fostering responsiveness to rapidly changing requirements and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standards to facilitate clear communication of system capabilities and operational procedures to both technical and non-technical staff.</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