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experience in software development, focusing on web and mobile applications. Proven expertise in AI enablement, change management, and training design. Adept at driving adoption of technology solutions across business environments, with a strong interest in investment research and capital markets. Excellent communicator with demonstrated experience in collaboration and vendor evaluation.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Claude Enterprise, Microsoft M365 Copilot, TensorFlow, PyTorch,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Jupyter Notebook, Docker, Kubernetes,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Pandas, NumPy, Hadoop, Spark,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AI-specific Tools:</w:t>
      </w:r>
      <w:r w:rsidRPr="003813CA">
        <w:rPr>
          <w:rFonts w:ascii="Arial" w:eastAsia="Century Gothic" w:hAnsi="Arial" w:cs="Arial"/>
          <w:sz w:val="22"/>
          <w:szCs w:val="22"/>
        </w:rPr>
        <w:t xml:space="preserve"> AlphaSense, Rogo, Hebbia, Tableau, Power BI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AI training materials and guides to enhance equity research workflows, focusing on best practices and tailored approaches to meet diverse team needs and promote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adoption of 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lead analysts to identify areas for targeted education, effectively increasing the utilization of AI tools and ensuring alignment with department strategies and overall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feedback from department members to pinpoint AI applications that drive operational efficiency and address unmet needs, fostering a culture of continuous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no-code and low-code tools to implement tailored AI workflows that enhance data processing and research output, streamlining operations within the Equity Research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AI tools and platforms through competitive analysis, effectively assisting Research Management in making informed decisions about vendor partnerships and tool adoption preferences.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Tracked and interpreted usage metrics to derive actionable insights, translating these observations into recommended training amendments and strategic updates to maximize AI integration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digital training formats that incorporate interactive content and real-world applications, boosting team engagement in AI practices and enhancing overall competency in technology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between technical and non-technical team members, successfully translating complex AI concepts into accessible formats that encourage understanding and facilitate widespread acceptance.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seminars and workshops tailored to various stakeholders, enhancing their understanding of AI capabilities and driving organizational change through empowered knowledge sharing and skill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related to AI enablement and capital markets, informing the development of departmental AI strategy and ensuring competitive advantage in the financial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loops to iterate training content, ensuring materials remain relevant and impactful as technology and market needs evolve, thus driving sustained engagement from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on prompt engineering and context management, enhancing team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deeper understanding of relevant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collaborative project environments where teams could experiment with AI tools, fostering innovation and allowing for adaptation of new technologies in real-time project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best practices from broader AI initiatives, aligning departmental efforts with overall corporate strategy to encourage a unified approach towards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adoption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proactive communication with stakeholders regarding updates in AI capabilities and departmental initiatives, ensuring alignment and readiness for upcoming technological shifts.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applications, utilizing key tools associated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context of digital solutions for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applications that facilitated paperless contracting and records management, significantly improving project efficiency and data accessibility across platforms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analyze workflow requirements and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tailored to the civil engineering space, enhancing project delivery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and manipulate data from various sources, ensuring comprehensive analysis and reporting to support strategic decision-making processes in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client-facing applications that streamline the bidding process, leveraging industry practices and technology tools to improve user experience and engagement for all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to familiarize team members with evolving software tools and practices in civil IT, fostering a culture of continuous learning and technical know-how across roles.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discussions with clients to ensure solutions aligned well with business needs, adapting quickly to changing project scopes and requirements while maintaining a focus on quality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focused on new technology adoption, emphasizing the importance of embracing digital solutions within the civil contracting community to drive industry transformation and improve work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multiple stakeholders to standardize data collection processes, promoting data integrity across different digital solutions for civil operations and enhancing information flow between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team retrospectives to review project performances and identify areas for improvement, effectively using insights to iterate development processes and refine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existing applications by suggesting and implementing improvements based on end-user feedback, resulting in increased productivity and satisfaction among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vendors for software solutions evaluation, ensuring that selected tools align with project requirements and maximize efficiency and technological advancement within civil engineering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