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cutting-edge web and mobile applications. Proficient in leveraging modern technologies and frameworks, with a strong foundation in Full Stack Development and a passion for driving innovation in aesthetic medical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React, React Native, Express.js, Vue.js,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Kafka, MySQL, Elasticsearch,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BDD, DevOps, Design Patterns,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and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architectural patterns and coding standards are adhered to consistently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reliability and maintainability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sound engineering practices, best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and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stakeholders to generate high-fidelity technical blueprints, transforming concepts into fully developed solutions, ensuring alignment with both business and technical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software development practices to enhance performance and streamline workflow across projects within agile team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schema design, query optimization, and replication strategies, improving application data management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streaming and processing, enhancing application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AWS services for continuous integration and deployment, ensuring consistent delivery of software across environments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their proper functionality across various devices and screen sizes as part of adherence to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recruiting processes and assessed potential hires for engineering roles, fostering a culture of high-performance and collaboration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investigate and resolve complex technical issues, ensuring high levels of service reliability and operational excellence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advocated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workflows across applications enhancing both data availability and real 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organize and prioritize team tasks, ensuring timely delivery and alignment with strategic project milestones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resources to onboard new engineers,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to foster knowledge sharing on emerging technologies,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future-proofing the engineering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scalable applications and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optimizing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to implement best practices in software development,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application reliability and ensure quality control measures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connect various digital solutions, ensuring seamless integration between client-side applications and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to clarify requirements and develop actionable plans, translating them into technical specifications while managing expectations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sprint planning and retrospectives, fostering a collaborative environment while ensuring projects remained on target within predefined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partnerships to define systemic architecture requirements,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the modularity and deployment of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for software systems, including architectural decisions and API references, strengthening team knowledge base and improving onboarding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of applications, aligning technology solutions with business objectives and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reducing operational downtime during software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to ensure application performance remained optimal and proactively addressed potential issues, aligning with best practices for high-availability systems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for proposed code changes and architectural design, ensuring alignment with project objectives and overall company strategy while fostering a culture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knowledge transfer and managed training sessions on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team competence in delivering modern web interface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