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Expertise in system architecture and identity infrastructure with a strong background in Python, FastAPI, and AWS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Spring Boot,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EC2, S3,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SSO, SAML, OIDC, OAuth2,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New Relic,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services for a no-code platform, which improved system resilience and reduced bottlenecks while enhancing performance metrics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authentication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compliance with enterprise security standards without compromising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interactions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developing APIs that satisfied diverse client requirements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iterating on product requirements and aligning engineering objectives with business goals, ensuring swift adaptability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decisions influencing long-term infrastructure strategy, mentoring junior developers and establishing coding standards that improved code quality and team cohesion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features that provided insights into system performance, increasing uptime and reducing critical incidents by anticipating potential bottlenecks during traffic peaks.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web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external services enabling seamless interaction within the company's diverse product suite, thus enhancing the overall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design reviews and code audits, enabling the team to increase expertise organically while ensuring alignment with state-of-the-art development practices and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and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internationalizing deployment strategies that facilitated consistent application performance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leads to define service boundaries and design patterns, ensuring reliability while accelerating the development cycle and driving lifecycle management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as part of a high-velocity engineering team,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processing efficiency across a spectrum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efficient data retrieval and manipulation while minimizing response latency and load on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workflows that improved release cycles and reduced human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indexed key fields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retrieval of user data which directly contributed to improved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tests for critical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could be integrated without introducing regressions or inconsistencies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modern web practices and technologies, fostering a culture of continuous improvement and professional development across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rapid prototyping and iteration on features by adopting agile methodologies, thus aligning team capabilities with changing user demands and evolving project scopes, enhancing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metrics and KPIs, which informed proactive management of application health and performance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 and strategic planning sessions that shaped the future of scalable application development, consolidating best practices for system evolvement as the user base surged.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migration strategies to cloud services, comprehensively moving on-premise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uptime and performance while ensuring cost-efficient scaling of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