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specializing in scalable web applications and API services. Proven proficiency in AWS, Python, and microservices architecture, with an emphasis on performance optimization and infrastructure automation.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Java,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FastAPI, Flask, Django, Spring Boot, Express.js,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Kubernetes, Docker, Terraform, Ansible,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Automation:</w:t>
      </w:r>
      <w:r w:rsidRPr="00106EA3">
        <w:rPr>
          <w:rFonts w:ascii="Roboto Light" w:eastAsia="Roboto Light" w:hAnsi="Roboto Light" w:cs="Roboto Light"/>
          <w:sz w:val="20"/>
          <w:szCs w:val="20"/>
        </w:rPr>
        <w:t xml:space="preserve"> REST APIs, GraphQL, OpenAPI, Swagger, Postman, RabbitMQ,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MySQL, PostgreSQL, MongoDB, Redis, DynamoDB,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resource utilization by enhancing load balancing and automated deployment processes in a scalable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backend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rapid prototyping and implementation of diverse features that meet dynamic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API performance through caching mechanisms and load balancing strategies, resulting in reduced response times and enhanced user experience across our service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provisioning and configuration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rollout processes and improved deployment consistency by eliminating manual error-prone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seamless integration across platforms,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enhance delivery speed and quality of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diagnosed application performance issues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proactive adjustments that maintain high service reliability and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team collaboration through Agile methodologies, effectively leading sprint planning meetings which encouraged discussions that drove feature enhancement and technical debt reduction.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internal Service Level Objectives (SLOs) and Service Level Indicators (SLIs) that improved our application's operational reliability metrics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developers, offering guidance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standards to improve overall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writing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design specifications, ensuring clarity and ease of understanding for both technical and non-technical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introduce innovative solutions that improved patent data processing, integrating machine learning models for better insights and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practices including authentication and authorization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data privacy and application security postures.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frameworks that greatly improved code quality and reduced defects in production, cultivating an environment of continuous improvement and high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protocols for potential implementation that align with our long-term strategic goals, contributing to our competitive edge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workflows by facilitating knowledge transfer sessions, enhancing team capabilities in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to meet project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services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ensuring that service architecture adhered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reliability, and high availability across various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validation of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simulate varied environments and client requests, ensuring reliability and performance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optimize costs and resource allocation, using capabilities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leading to improved consistency and reproduction of production-like environments across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monitoring solutions for services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performance metrics and application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collaborations to refine and implement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improved overall operational efficiency and reduced the time for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branching strategies to streamline collaborative workflows and enable efficient feature development and bug tracking.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periodically with updated tools and languages to align with industry trends, thereby continuously enhancing personal and team coding practices in evolving technology stacks.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shape and refine the vision for the organization’s software platform, aligning technical capabilities with business needs and customer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successful migrations from on-premise solutions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outlining plans that minimized downtime and optimized resource utilization throughout the transition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effectively to alert on critical issues as they arise,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 incident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document core infrastructure processes, which have become part of the onboarding process and knowledge sharing, reducing the ramp-up time for new engineers.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