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robust backend systems and applications. Proficient in TypeScript and Python, with a focus on building scalable solutions in regulated environments. Exceptional at collaborating with cross-functional teams to deliver high-quality software that enhances user engagement and operational efficiency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Mongoose, Twilio, Temporal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Temporal, Cadence, Docker, Kubernetes,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reducing response times for millions of users across our healthcare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implement advanced communications protocols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SMS notifications and user engagement, improving patient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asynchronous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fault tolerance and effective long-running operations critical for patient healthcare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distributed systems methodologies, which fostered team growth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utilizing services such as S3 for storage and Lambda for serverless executions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automated testing, deployment, and integration, improving the development cycle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methodologies, enabling smooth iteratives and incremental progress on project deliverables in a fast-paced healthcare environment,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of system performance, utilizing logging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better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modules, providing seamless integration capabilities with frontend applications and third-party services through standardized data exchange formats.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design patterns in backend architecture, elevating team capabilities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standards, to ensure compliance and interoperability across health records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integrity and adherence to industry standards for all backend services, minimizing post-deployment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swiftly diagnose issues, maintaining uptime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compliance by integrating regulatory requirements into API designs and ensuring data security practices were adhered to throughout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sessions to align on common goals and streamline feature integration within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 latency for a variety of e-commerce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microservices patterns that handled thousands of transactions,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errors and enhanced the frequency of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establish clear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contracts,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which improved communication between developers and eased integration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development and deployment, facilitating easy scaling and environment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real-time analytics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application to process streaming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distributed systems with a focus on fault tolerance and event-driven architectures, enhancing system resilience and scalability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improving libraries and frameworks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visibility within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measures, like database indexing and query optimization,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response times and improved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security assessments of cloud deployments, implementing strict compliance protocols for data handling and storage to protect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maintained code quality and ensured compliance with functional requirements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product-sprint planning meetings and provided engineering perspectives on feasibility and delivery timelines, enhancing team effectiveness and alignment 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