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Java, Spring Boot, and AWS. Proven expertise in modernizing legacy systems, optimizing event-driven architectures, and developing cloud-native IoT solutions, enhancing operational efficiency across transport networks.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Kotlin,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Kafka,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CI/CD, Microservices Architecture, Agile Methodologies,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microservices by refactoring existing code bases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maintainability, improving system reliability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ingestion of operational data and ensuring data integrity across multiple services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that improved response time and reduced latency in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through effective data modeling and query tuning practices, enhancing data retrieval times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culture of learning and continuous improvement while promoting the adoption of modern development techniques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pipelines, enabling rapid deployment cycles and reducing integration errors,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security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workflows to automate data processing tasks, contributing to improved data accuracy and reducing manual effort in operational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introducing design patterns and best practices for building scalable, maintainable software architectures that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interactive,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seamless user experiences while adhering to performance optimization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 comprehensive logging and monitoring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management of application health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facilitating consistent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code reviews, ensuring adherence to coding standards and promoting knowledge sharing within the engineering team to enhance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 refactor large rules-engine frameworks, ensuring compatibility with existing microservices and enhancing decision-making processes within operational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problem-solving scenarios to deliver efficient solutions, leveraging deep knowledge of system architecture principles and ensuring optimal application performance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measures through rigorous adherence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code audits and updating existing applications for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high-volume transactions and ensuring seamless integration with existing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distributed systems that manage substantial data 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 and facilitate efficient communication between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services and resources following best practices, ensuring high availability, and optimizing costs through effective monitoring and resource provisioning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retrospectives, focusing on delivering high-quality software and adapting to changing requirements efficiently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databases, balancing the need for structured versus unstructured data depending on application requirements and performance specs.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remote development capabilities by optimizing workflows and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productivity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microservice solutions, promoting an independent module approach, reducing application coupling and increasing deployment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and integration testing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lending to highly reliable applications with minimal defects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integrating various third-party services and ensuring compatibility with existing platforms, thus broadening application functionalities while maintaining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configuration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environment setups and enhancing reproducibility for infrastructure resources, ensuring a unified development environment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