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systems development, specializing in TypeScript, database management, and observability. Proven ability in building robust applications and implementing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React,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New Relic, Sentry,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for creative applications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interactions and data processing for large customer base in creative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observability and reliability by implementing robust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system failures and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robust performance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queue-based orchestration framework that improved system response times through effective job scheduling and task management,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services to more scalable microservices architecture, leading to increased maintainability and reduced downtime during updates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performance analysis, advocating for clean code practices and fostering knowledge sharing among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real-time analytics dashboard,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frameworks, thereby enhancing visibility into user interactions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processes and improved resource management, while contributing to a culture of CI/CD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methodologies and tools, cultivating an environment of continuous learning through pair programming and technical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standards and documentation to streamline communication between frontend and backend teams, enhancing collaboration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to improve system efficiency, including exploring serverless architectures and queue systems, pushing the boundaries of innovative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backend solutions at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scalable applications across various services, ensuring high availability and performance under significant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 architectures, focusing on API design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client applications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automated testing practices to improve development lifecycle and ensure stable releases with minimal disruptions and improved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database management and optimization in relation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improving data retrieval processes and ensuring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for emerging services, contributing insights from past experiences to drive decisions on technology stack adoption and scalability strategies for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new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performance metrics and error reporting to enhance application reliability and identify critical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engineering efforts to facilitate resource sharing and systems integration, pushing collaborative practices that led to faster feature rollout and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failure response strategies through observability tools, establishing key metrics that drove engineering improvements and focused efforts on performance optimization across system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and stakeholder discussions to gather feedback and requirements, using insights to inform backend design choices that directly address user needs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using cloud services for application deployments, ensuring smooth transitions into cloud environments while promoting practices for robustness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implement new features, utilizing agile methodologies to enhance alignment and streamline the development process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