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and operating production backend systems. Expertise in AWS, Node.js, and TypeScript, and a proven ability to deliver scalable, AI-enabled solutions and mentor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Azure,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GitHub Actions,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Generative 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increased application reliability and decreased latency while supporting dynamic AI workflows and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complex software delivery processes, successfully translating ambiguous product expectations into clear technical specifications, fostering collaboration among engineering, design, and product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and optimized production-grade AI systems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establishing best practices for cost-efficiency and operational readiness while ensuring compliance with data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infrastructure management, which improved deployment speed and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mentorship sessions that significantly elevated team standards in coding practices, testing strategies, and documentation, which cultivated a culture of continual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process improvements that enhanced system observability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monitoring of application performance and reducing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development cycles to deliver updates and features, maintaining a focus on customer-centric design principles and operational excellence, actively participating in sprint planning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efficient data retrieval patterns (RAG) into backend systems, significantly enhancing the speed and responsiveness of data access and processing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process, allowing for rapid iterations and continuous integration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API specifications and architectural designs to improve team alignment and facilitate knowledge transfer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and services to enhance functional capabilities of core products, contributing to feature expansion and improved user experiences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rotation, leading incident investigation and resolution efforts, reinforcing a culture of preparedness and accountability across engineering teams by documenting lessons learned.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that encouraged innovation and creative problem-solving among team members, resulting in enhanced product outcomes and team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life cycle of AI projects, from ideation to deployment, ensuring the application of practical, measurable solutions that benefitted customer learning experiences in clinical education.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sessions, code reviews, and knowledge-sharing discussions, enhancing their technical capabilities and enabling them to take on increasingly complex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the infrastructure supporting high-traffic consumer applications while ensuring adherence to best coding practices and architectural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management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 availability and quick access to data, which boosted application performance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clear product requirements, translating them into scalable backend solutions that consistently met quality standards and time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share knowledge on best practices and coding standards, bolstering team cohesion and fostering an environment of continuous improvement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along with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strategies, application reliability, and overall system resiliency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resulting in enhanced scalability, system robustness, and reduced operational costs across the board, directly benefiting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performance tuning and optimization tasks to improve application response times and resource utilization, significantly enhancing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fostered inter-team communication to streamline project scaling, resulting in successful integration of user feedback into ongoing development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for enhanced observability of key application metrics, leading strategic decisions based on performance insights gathered through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clear process for incident response and service recovery, which led to a marked improvement in system uptime and availability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leading technical discussions around architectural evolution and strategic technology choices, ensuring alignment with business goals and fostering innovation-driven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architecture reviews, offering feedback and insights that elevated the overall engineering quality of projects and strengthened the technical capabilities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