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expertise in designing scalable systems and leading technical initiatives within healthcare technology. Strong skills in Python, AWS, and serverless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FastAPI, React Native, Expo, Node.js, NestJS,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DynamoDB, API Gateway, EventBridge,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Redis, MySQL,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efficient resource management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develop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mobile application that enhanced user engagement by streamlining access to maternity health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high-performance APIs that seamlessly interact with multiple data sources and external services, enhancing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cycles and reducing downtime during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complex clinical use cases into intuitive and scalable solutions, leveraging a mix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frontend.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technical standards for observability and monitoring, implementing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post-launch.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architectural decisions for backend infrastructure in line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promoting reliability and scalability for client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efforts to refactor legacy codebases, modernizing applications while adhering to best practices in software design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UX and clinical teams to gather requirements and deliver features that improved user experience in both web and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documentation that outlined architectural decisions, APIs, and system integrations for future reference and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privacy measures that complied with healthcare regulations, ensuring data protection and user confidentiality throughout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team productivity and code quality through pair programming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to align technical strategy with business goals, advocating for innovative solutions that drive efficiency and quality of 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cloud optimization strategies, sharing knowledge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cost management with team members to encourage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health services via secure API development, continuously optimizing communication paths to better serve end-user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high-impact projects that required developing scalable production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supporting development within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banking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API microservices that supported fraud detection and customer verification.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implement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data flow and analysis for real-time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JavaScript applications, significantly improving maintainability and reducing runtime errors by ensuring type correctness throughout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to enhance application scalability, contributing insights on microservices and cloud deployment strategies that align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feedback on adherence to coding standards and best practices, promoting high-quality code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database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 application performance needs while ensuring data integrity and security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approaches that reduced operational overhead and improved deployment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for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in component architecture and state management to foster a responsive user interface.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oversee project timelines and delivery, ensuring alignment with client priorities and expectations at all stages of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system optimization and refinements during testing phases, leading to reductions in bugs and increased user satisfaction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communication to ensure compliance with security standards and regulations, actively quantifying risks and recommending remediation plans.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