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in designing and implementing web applications. Proficient in 508 Compliance, HTML, CSS, and Rails. Proven track record in accessibility standards, providing seamless user experiences and adhering to best industry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Angular, React,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Ruby on Rails, Django, Node.js, Express,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Standards:</w:t>
      </w:r>
      <w:r w:rsidRPr="00106EA3">
        <w:rPr>
          <w:rFonts w:ascii="Roboto Light" w:eastAsia="Roboto Light" w:hAnsi="Roboto Light" w:cs="Roboto Light"/>
          <w:sz w:val="20"/>
          <w:szCs w:val="20"/>
        </w:rPr>
        <w:t xml:space="preserve"> 508 Compliance, WCAG, ARIA, Semantic HTML, Accessibility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Postman,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and Deployment:</w:t>
      </w:r>
      <w:r w:rsidRPr="00106EA3">
        <w:rPr>
          <w:rFonts w:ascii="Roboto Light" w:eastAsia="Roboto Light" w:hAnsi="Roboto Light" w:cs="Roboto Light"/>
          <w:sz w:val="20"/>
          <w:szCs w:val="20"/>
        </w:rPr>
        <w:t xml:space="preserve"> AWS, Azure, Heroku, Docker, Kubernetes,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web applications at Blend360,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508 Accessibility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engagement and enhancing overall user experience through best practices in coding and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web designs, improving accessibility across multiple platforms while meeting diverse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for projects, translating them into technical specifications and solutions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508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access for users with disabilities.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of web applications,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508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identified potential barriers and proposed solutions to enhance user experience and accessibility on a global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clean and efficient coding standards across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effectively, improving maintainability and extensibility of the codebase while conforming to community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on best practices concerning accessibility and maintainability, promoting a culture of continuous improvement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planning and development of new features; analyzed user interactions and data trends to inform enhancements focused on accessibility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latest trends in web technologies; kept abreast of innovations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JavaScript libraries to enhance project outcomes and drive technology adoption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functionality and performance of web applications while maintaining consistent accessibility standards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emphasizing the importance of coding with accessibility in mind, helping to foster a more inclusive development environment and enhancing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user-centered design solutions, ensuring all developed interfaces were compliant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508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usability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improvement by attending workshops and seminars focusing on accessibility and usability, incorporating acquired knowledge back into projects for better outcomes on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government entities to align project deliverables with regulatory requirements regarding accessibility, ensuring compliance and understanding of diverse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streamlining interactions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ensuring seamless integration with frontend interfaces for optimal accessibility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code processes and best practices with emphasis on accessibility, ensuring future maintainers clearly understand the project structure and compliance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at AWS,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interfaces and ensuring optimal performance across various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combination with modern frameworks to enhance page responsiveness, usability, and accessibility, adhering to industry standards and best practices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creating solutions focused on user accessibility,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processes, and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508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inclusive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develop and implement designs that not only meet users' requirements but also align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508 Accessibility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usability of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troubleshooting and optimizing existing software, focusing on improving accessibility outcomes and ensuring compliance with local and federal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conducting regular sprint reviews and incorporating feedback regarding accessibility enhancements into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and improved documentation standards focusing on accessibility compliance, ensuring that all team members were aware of their responsibilities in this area.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all features not only perform as expected but also meet accessibility specifications outlined in the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to brainstorm and conceptualize features with special emphasis on accessibility, ensuring that all users could effectively interact with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to ensure that all phases of the development process included considerations for accessibility, fostering a culture of inclusivity within team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focusing on best practices concerning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508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and recommendations for potential accessibility improvements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accessibility guidelines and innovations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508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awareness and skillsets across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