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engineering professional with 11 years of experience in leading software application development, engineering, and quality assurance functions. Proven expertise in project management, team leadership, and cloud-native development, committed to driving strategic technology solutions that align with organizational goals and promote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Ruby,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Spring Boot, ASP.NET Core,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SDLC, API Design, Microservices, Automation Testing, Version Control (Git)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Excellence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Security, Compliance (SOC 2, ISO 27001), Incident Management, Vendor Management, System Reliability Engineering, Quality Assurance (QA), Performance Monitoring, Risk Mitigation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and managed software engineering initiatives at Blend360; led diverse teams to develop high-quality software solutions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continuous integration practices aligned with business objectives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strategic multi-year engineering roadmap focused on innovation and continuous improvement, resulting in enhanced product delivery throughput and team collaboration, achieving a robust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Enterprise Architects to integrate cutting-edge technologies and toolsets, ensuring alignment with the enterprise application's overall architecture and long-term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collaborative team environment that fostered learning and growth; mentored managers and senior engineers in best practices for software architecture and development to elevate team performance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stringent coding standards, quality assurance protocols, and extensive documentation practices to enhance operational efficiency and accountability across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approaches,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solutions that improved deployment efficiency and reduced operational costs for major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cross-functional teams to ensure alignment on project priorities, resolving blockers efficiently and enhancing communication between stakeholders for streamlined product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delivery of reliable software that meets customer and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evaluations and integrations of new technologies, driving continuous improvement in the platform's capabilities and fostering a culture of innovation and adaptability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primary IT liaison for business domains; provided critical insights and recommendations on software solutions that shaped technology decisions and strategic planning at high levels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software security in collaboration with the Chief Information Security Officer, minimizing vulnerabilities and ensuring adherence to industry standards and regulatory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operational systems for viability using data analytics and feedback to recommend strategic enhancements or necessary transitions to maintain competitive agility in the marketplace.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resource allocation within development teams, aligning skills with project needs and fostering a balanced workload environment particularly during peak project cycles to enhance overall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vendors and partners, managing relationships that contributed to technology adoption processes and maintenance of third-party integrations essential for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cultivate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excellence, establishing regular workshops and training sessions to ensure teams remained abreast of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architectures while working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successfully transitioned core microservices to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in enterprise-level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migration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ensure smooth transitions of legacy systems to modern infrastructures with minimal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complex multi-tier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robust API integrations to support dynamic user experiences and business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programming paradigms and best practices within software engineering teams, emphasizing code maintainability and architectural integrity across multiple application tiers and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architecture reviews and code audits that prioritized quality, consistency, and adherence to industry best practices, raising overall project standards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automating build processes that increased developer productivity while ensuring that code merges remained reliable and frictionless.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project objectives, scope, and deliverables, leading to the development of comprehensive roadmaps that aligned technical efforts with business strategy and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where I guided teams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facilitate easier integration between systems, promoting efficiency and extensibility of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code quality and reliability before software releases, thus reducing production errors and patch cycles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monitoring and alerting systems, conducting root cause analysis on performance bottlenecks and deploying systematic improvements to expedite incident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solutions, consistently ensuring their compatibility with existing architecture and working with vendor partners to customize implementations based on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supported knowledge-sharing initiatives that enriched team capabilities and technical depth, establishing an environment that championed continued professional development and progressive technology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