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Expertise in designing scalable systems using Python and maintaining performance-critical backend services. Adept at working collaboratively in remote environments and contributing to mission-driven initiatives ensuring open access to information.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REST API, GraphQL,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Cassandra,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Temporal.io, Microservices,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Security Audits,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best practices that improved system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remote setting to deliver high-quality software solutions on time and aligned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backend services to ensure the integrity and security of data and services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operational issues quickly in a complex infrastructure, focusing on system health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event-driven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workflows that meet dynamic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maintenance practices that addressed vulnerabilities, ensuring compliance with industry standards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deployment and integration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discussions around best practices for development, promoting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APIs and system architectures comprehensively, ensuring knowledge sharing and maintainability of code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logging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issues before they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functionalities and managed the full software development lifecycle in an agile environment, adapting to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project estimation processes without supervision, delivering consistent outcomes aligned with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response times by optimizing queries and deploying indexes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supportive onboarding experience for junior engineers, sharing knowledge, and coaching them through their initial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high-performance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contributing to cloud architecture which seamlessly supports varying traffic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connect client applications to backend services, ensuring reliability and a positive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across multiple projects, engaging in code reviews and discussions that enhance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related to application deployment and operational performance, employing a root cause analysis approach to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processes,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to scale applications without additional cloud resources, ensuring dependable service delivery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system components and user applications, providing clarity and understanding to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optimizations on backend services, focusing on efficiency improvements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security measures throughout the development lifecycle, reinforcing application security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for new features, translating needs effectively into technical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database load and improve application responsiveness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frameworks to monitor applications and alert on system health, ensuring maximum uptime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