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comprehensive experience in building robust backend infrastructure for web and mobile applications. Demonstrated expertise in cloud technologies, distributed systems, and data processing. Proven ability to lead cross-functional initiatives, optimize system performance, and enforce security standards to meet stringent compliance requirements. Adept at collaborating with diverse teams to enhance developer velocity and achieve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xml:space="preserve"> Docker, Kubernetes, ECS, EKS,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Spring Boot,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DynamoDB,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data-intensive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operational efficiency while maintaining high availability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speed and reduced resource allocation costs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enforce industry-standard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DoD security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architectural diagrams for backend systems, facilitating clear communication of technical concepts to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knowledge sharing and continuous learning while enhancing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across all critical services to proactively identify and mitigate potential system failures and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third-party APIs into existing platforms, improving functionality and user experience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security and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enabling rapid iteration on product features and infrastructure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security team to regularly review and update security policies, ensuring all systems comply with the latest regulatory standards for data protection and access controls.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balanced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cost-effectiveness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strategic trade-offs that aligned with business goals while optimizing resource utilization in cloud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applications, ensuring that each service met functional requirements and was robust enough to handle high traffic loads without degrading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systems through incremental enhancements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service-oriented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modularity and facilitate future scalability options.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influencing key design decisions that enhanced overall system reliability and streamlined operations in line with organizational growth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infrastructure as code (IaC)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consistency in cloud infrastructure deployment and simplifying system recovery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capture requirements and translate them into efficient architectural designs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improved internal coding standards, enhancing code quality and fostering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engineering teams; actively engaged in code reviews and feedback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handling of unstructured data while ensuring optimal read/write performance in the application layers managing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pipeline processes to facilitate real-time data retrieval and processing, enhancing the overall responsiveness of the organization's flagship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understanding user requirements and translating them into technical specifications that drive the development of scalable solutions and optimize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and identified opportunities for refactoring existing components, leading to significant improvements in overall system responsiveness and resource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