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specializing in React, TypeScript, JavaScript, and CSS3. Proven track record in developing cloud-native applications, optimizing performance, and leading architectural decisions in healthcare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robust front-end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healthcare SaaS platform, enhancing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API contracts, ensuring seamless integration of medical data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high-performance components optimized for mobile and desktop devices,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unit-testable code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a 30% improvement in testing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code quality and documentation, promoting a culture of excellence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that shaped platform reliability and scalability, serving millions globally.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caching techniques, significantly improving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InfoSec teams to design secure software implementations, adhering to best practices in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modern engineering principles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fostering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reusable front-end libraries that minimize redundancy and enhance development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Agile ceremonies, delivering high-quality products in iterative cycles.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increased user satisfaction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designers to transform wireframes into maintainable code, ensuring adherence to design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modern web development practices and architectural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interaction between front-end and back-end services, improving system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 and design discussions, advocating for high-quality, maintainable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and flowcharts for complex features, aiding team understanding and onboarding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streamlining collaboration among team members and improving tracking of changes.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to enhance existing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safety and developer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team members to implement features based on user feedback, resulting in improved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daily stand-ups and code reviews, promoting collaboration and knowledge sharing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reliability and reducing bug occurrences.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technology stacks, enhancing overall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audits and debugging processes, resulting in a 25% reduction in bugs reported by 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&amp; Microservices</w:t>
      </w:r>
      <w:r>
        <w:rPr>
          <w:rFonts w:asciiTheme="minorHAnsi" w:hAnsiTheme="minorHAnsi" w:cstheme="majorHAnsi"/>
          <w:lang w:val="en-US"/>
        </w:rPr>
        <w:t xml:space="preserve">: RESTful APIs,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