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professional with over 11 years of experience in surety underwriting, risk analysis, and relationship management. Proficient in leveraging underwriting tools, financial analysis, and market research to drive profitability and customer retention.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territory management initiatives boosting market penetration and profitability of </w:t>
      </w:r>
      <w:r>
        <w:rPr>
          <w:rFonts w:asciiTheme="minorHAnsi" w:hAnsiTheme="minorHAnsi" w:cstheme="majorHAnsi"/>
          <w:b/>
          <w:bCs/>
          <w:lang w:val="en-US"/>
        </w:rPr>
        <w:t xml:space="preserve">surety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financial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market research to negotiate key contracts, increasing revenue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to streamline underwriting processes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comprehensive </w:t>
      </w:r>
      <w:r>
        <w:rPr>
          <w:rFonts w:asciiTheme="minorHAnsi" w:hAnsiTheme="minorHAnsi" w:cstheme="majorHAnsi"/>
          <w:b/>
          <w:bCs/>
          <w:lang w:val="en-US"/>
        </w:rPr>
        <w:t xml:space="preserve">sales strategies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resulted in improved customer retention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in-depth </w:t>
      </w:r>
      <w:r>
        <w:rPr>
          <w:rFonts w:asciiTheme="minorHAnsi" w:hAnsiTheme="minorHAnsi" w:cstheme="majorHAnsi"/>
          <w:b/>
          <w:bCs/>
          <w:lang w:val="en-US"/>
        </w:rPr>
        <w:t xml:space="preserve">risk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pricing strategies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performance gaps.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underwriters on industry standards and practices,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strong agency partnerships through effective communication and active market presence.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evaluated complex submissions under company guidelines using advanced </w:t>
      </w:r>
      <w:r>
        <w:rPr>
          <w:rFonts w:asciiTheme="minorHAnsi" w:hAnsiTheme="minorHAnsi" w:cstheme="majorHAnsi"/>
          <w:b/>
          <w:bCs/>
          <w:lang w:val="en-US"/>
        </w:rPr>
        <w:t xml:space="preserve">underwriting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monitored competitor activities and market conditions to maintain a competitive 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industry regulations while improving service delivery through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customer service workflows, improving client satisfaction ratings by optimizing escalated service requests.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underwriting processes for diverse portfolios, focusing on maximizing profitability and risk exposure.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sound risk underwriting guidelines aligned with market trends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sharing expertise in </w:t>
      </w:r>
      <w:r>
        <w:rPr>
          <w:rFonts w:asciiTheme="minorHAnsi" w:eastAsia="Times New Roman" w:hAnsiTheme="minorHAnsi" w:cs="Times New Roman"/>
          <w:b/>
          <w:bCs/>
          <w:lang w:val="en-US"/>
        </w:rPr>
        <w:t xml:space="preserve">risk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underwriting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sales strategies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increased customer engagement and market share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stakeholders to refine product offerings tailored to client needs and market demands.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reports leveraging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adjusted strategies for better results.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sector-specific webinars to stay informed on the latest in surety markets, enhancing team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processes for pipeline management that increased efficiency in account handling.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underwriting tasks including risk assessment, pricing, and policy construction for commercial accounts.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inter-departmental teams to develop customer-oriented solutions, enhancing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reporting standards, ensuring compliance with regulatory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trends in underwriting performance, contributing to strategic adjustments for profitability.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towards automated solutions for claims management, improving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input for the development of training programs enhancing underwriting competencies across teams, achieving a 15% increase in throughput.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Excel,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