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managing strategic accounts within the blockchain and Web3 domains. Proficient in leveraging KPIs, data-driven strategies, and cross-functional collaboration to achieve measurable outcomes and foster strong relationships with L1/L2 partners.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 portfolio of T1 accounts, driving relationship health and long-term impact with partners like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Joint Business Plans (JBPs), aligning objectives with </w:t>
      </w:r>
      <w:r>
        <w:rPr>
          <w:rFonts w:asciiTheme="minorHAnsi" w:hAnsiTheme="minorHAnsi" w:cstheme="majorHAnsi"/>
          <w:b/>
          <w:bCs/>
          <w:lang w:val="en-US"/>
        </w:rPr>
        <w:t xml:space="preserve">Optimism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roadmap and revenue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onboarding and integration efforts, ensuring timely go-live readiness for strategic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revenue outcomes by managing KPIs, conducting regular QBRs, and leveraging data insights for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teams, including Product and Engineering, to deliver high-quality solutions frictionlessly.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executive-level relationship owner, establishing trust with senior stakeholders and managing escalations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risks and opportunities within accounts, implementing remediation plans for churn and underperformance.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communication with stakeholders, prioritizing commitments to ensure alignment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to streamline workflows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account managers on effective relationship strategies and account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post-engagement reviews to capture lessons learned and improve future partnership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strategic accounts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client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onboarding and integration process for key partners, focusing on seamless collaboration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strategic account strategies that drove performance improvements and met defined revenue targets.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platform features and capabilities, promoting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with partners to align learning goals with available technology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 teams to analyze account performance metrics to identify further growth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check-ins with clients to assess health and strategic alignment, ensuring nurture of key relationships.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 key projects, generating robust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systems, improving performance with new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integrity and security, utilizing industry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code optimization and regular system audits.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Hyperledger, Solidity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GTM, JIRA, Trello,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