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experience, specializing in React, GraphQL, and Redux. Proven expertise in building scalable, user-centric applications in high-performance web environments. Strong understanding of HTML5, CSS3, and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systems for managing high volumes of voice AI conversations,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end-to-end solutions, partnering with UX designers and product managers for optimal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data-driven dashboards and component libraries, ensuring reusable and high-quality code with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refined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accessibility standards (WCAG) across all applications, enhancing usability for diverse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analytics tools to refine UX based on user feedback, leading to measurable improvements in task completion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backend engineers to develop integrated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inspections, ensuring adherence to high-quality standards and architectural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operations processes, adopting new technologies and practices to optimize brand onboarding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several key features end-to-end.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component development and state management, enhancing team capabilities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high-fidelity prototypes for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UX by implementing data visualization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analysis of user behavior.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accessibility and compliance with WCAG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customers to gather feedback, directly influencing product feature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technology selection and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(Jest, Cypress) to ensure robust feature delivery and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web features as an individual contributor,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front-end frameworks, enhancing system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facilitating seamless data interchange.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maintenance tasks, promoting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improving system efficiency, resulting in a 20% increase in user satisfaction. Bright, engaging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ClojureScript, TypeScript, HTML5, CSS3, SQL,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Tailwind CSS, D3.js, Recoil,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Docker, Jenkins, AWS, GCP,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Responsive Design, Accessibility (WCAG), Prototyping, User Research, Design Systems, Mockups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Firebase,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Selenium, TestCafe, Enzyme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