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experience in JavaScript, TypeScript, and React focused on building robust user interfaces. Proven expertise in architecting front-end systems, driving engineering best practices, and mentoring teams in CI/CD and performance monitoring.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the front-end ecosystem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the implementation of best practices for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championed long-term vision for UI frameworks, focusing on component library evolution and state management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engineering standards for UI components, implementing best practices for accessibility (WCAG) and comprehensive testing (unit, E2E).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for product development, translating complex clinical trial needs into technical specifications and prioritizing iterative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production monitoring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Core Web Vitals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user experiences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across the organization, enhancing their skills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patterns and performance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designers to shape product features, enhancing the matching process for patient trials.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user feedback and metrics to enhance application performance and reduce barriers to clinical trial participation.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deployment processes to improve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reviews, promoting collaboration between backend and frontend teams to ensure efficient API consumption.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defining strategies for micro-frontend architecture, enhancing scalability and maintainability of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frontend components and user interfaces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through dynamic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UI testing methodologies,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projects to integrate new features while ensuring system integrity and performance across various browsers.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and reliability of the application.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designers to translate wireframes into functional application components, improving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processes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 by automating testing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high standards of engineering excellence and maintaining a collaborative codebase.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maintaining and optimizing legacy components, ensuring smooth transitions to modern frameworks.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user-facing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interactivity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architectures, focusing on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principles, ensuring compatibility across devices and screen sizes.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and performance tuning,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 and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define API contracts, enhancing data flow and integration with client-side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analytics tools to assess user engagement and iterate on product features, resulting in a 30% increase in user retention.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CSS, HTML,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jQuery, Express,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Jenkins, Travis CI, Docker, Vite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Selenium, E2E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AWS,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Core Web Vitals, Google Analytics, Sentry, New Relic,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