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full-stack development. Proficient in Ruby on Rails, Svelte, Vue, and cloud technologies like AWS, driving architectural decisions and high-quality code contributions.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subsystems including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data strategies with strict tenant isolation.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technical contributions across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frontends, ensuring compliance with FedRAMP and SOC 2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members, conducting code reviews and enhancing code quality through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serverless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background processing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strategic goals into technical roadmaps in collaboration with Security and Infrastructure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multi-tenant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compliance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modernize fragmented systems and improve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optimizations on systems supporting 400+ workers.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Infrastructure-as-Code, integrating seamlessly with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monitoring strategies using observability tools for enhanced system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high-performance culture promoting best practices in architecture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major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architecture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large-scale frontend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enhancing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serverless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scalability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business goals with engineering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efficient data retrieval in multi-tenant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raising code quality standards and driving architectural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testing strategies achieving over 80% code coverage for key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introducing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data integration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high-impact features,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optimization techniques and efficient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Svelte, Vue,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Docker, EventBridge,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