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and scaling systems. Proficient in TypeScript, Node.js, Go, and PostgreSQL. Expertise in architectural patterns and AI infrastructure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initiatives that enhance platform scalability and reliability for millions of users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monolith-to-services decomposition following established design patterns to improve system modularity.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high-throughput workloads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query optimization and replication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AI infrastructure, including </w:t>
      </w:r>
      <w:r>
        <w:rPr>
          <w:rFonts w:asciiTheme="minorHAnsi" w:hAnsiTheme="minorHAnsi" w:cstheme="majorHAnsi"/>
          <w:b/>
          <w:bCs/>
          <w:lang w:val="en-US"/>
        </w:rPr>
        <w:t xml:space="preserve">vector stores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embedding pipelines for AI-driven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through rigorous code reviews and collaborative design sessions to elevate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that align with business goals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incident response strategies to improve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automation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 other teams to accelerate development through platform primitives.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coding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development efficiency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system requirements and deployment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scaling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up to millions of monthly active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through technical workshops and pair programming sessions to foster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systems using service-oriented architecture for improved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partitioning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and monitoring through implementation of logging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introduce scalable microservices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AI feature implementations, including recommendations and content moderation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the enforcement of testing standards and CI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effective integration of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upgrades,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strategies to enhance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activities to resolve operational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improvements to user-facing features by optimizing the underlying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React, NestJS, GraphQL, Socket.IO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TensorFlow, PyTorch, OpenAI API, vector databases, LLM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Cursor, Git, Jira,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