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leveraging TypeScript, React, Python, and AWS to develop user-centric solutions. Expert in creating scalable applications while ensuring security and performance. Proven history in cross-disciplinary collaboration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multi-product features enhancing </w:t>
      </w:r>
      <w:r>
        <w:rPr>
          <w:rFonts w:asciiTheme="minorHAnsi" w:hAnsiTheme="minorHAnsi" w:cstheme="majorHAnsi"/>
          <w:b/>
          <w:bCs/>
          <w:lang w:val="en-US"/>
        </w:rPr>
        <w:t xml:space="preserve">SmarterDx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applications, ensuring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reusable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improving user experience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requirements for key user-facing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secure coding practices, protecting patient privacy through rigorous performance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improved software development techniques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support for </w:t>
      </w:r>
      <w:r>
        <w:rPr>
          <w:rFonts w:asciiTheme="minorHAnsi" w:hAnsiTheme="minorHAnsi" w:cstheme="majorHAnsi"/>
          <w:b/>
          <w:bCs/>
          <w:lang w:val="en-US"/>
        </w:rPr>
        <w:t xml:space="preserve">SmarterDx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identifying and resolving critical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code quality and usability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optimizing application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cloud solutions, streamlining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define feature requirements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enhancing software delivery speed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maintained documentation for better team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visualization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insightful user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frameworks to align with industry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robust features for clinical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software functionalities, ensuring alignment with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a culture of iterative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modular code for maintainability and extensibility in clinical decision-support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seamless feature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improving overall performance and user experience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