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developing scalable applications. Proficient in Python, AWS, React, TypeScript, and API-first design. Strong focus on cloud-native architectures and enhancing contract lifecycle management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core platform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an API-first approach, enhancing user experience in contract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backend services for enterprise applications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managed front-end features in a growing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application, leveraging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increased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design and product teams, ensuring scalable and secure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technical guidance through design reviews and architectural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infrastructure workflows in a serverless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proof-of-concept initiatives for integrating new technologies, optimizing data flow in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engineering standards for backend, frontend, and cloud services, enhancing coding practices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architectural decisions that facilitated smooth dependencies between emerging products and the core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adoption of observability tools and infrastructure as code, increasing deployment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frameworks that contributed substantial business or technical value.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features for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application, emphasizing a robust API-first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serverless applications, and CI/CD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extensive backend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scalability of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significant role in integrating third-party APIs, enhancing feature set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requirements and deliver scalable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solutions, ensuring optimal data retrieval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reviews and architectural discussions to support high code quality and engineering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key engineering practices, promoting a culture of knowledge sharing and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functionality for a SaaS product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stable and maintainable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developing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foundational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through code refactoring and implementing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AWS cloud, enhancing system reliability and scalability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CI/CD pipeline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improved application performance metrics through proactive monitoring and refactoring.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API Gateway,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Terraform,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