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specializing in C#, .NET, and AWS. Proven expertise in building scalable, event-driven architectures, and proficiency in OCR technologies like Tesseract. Adept at driving technical excellence and guiding teams in high-performance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technical direction for document content extraction and transformation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establishing patterns for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using </w:t>
      </w:r>
      <w:r>
        <w:rPr>
          <w:rFonts w:asciiTheme="minorHAnsi" w:hAnsiTheme="minorHAnsi" w:cstheme="majorHAnsi"/>
          <w:b/>
          <w:bCs/>
          <w:lang w:val="en-US"/>
        </w:rPr>
        <w:t xml:space="preserve">Tesseract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Apryse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content transformation and extraction.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event-driven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APIs (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powering frontend solutions and third-party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AI-driven services enhancing system efficiency and increasing user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monitoring and issue triaging.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high-quality, maintainable code across the full stack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addressed technical debt, maintaining system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documentation, including architectures and design decisions, promoting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coding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event-driven architecture for improved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define technical solutions directly aligned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provided constructive feedback, ensuring high code quality and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codebases, identifying bottlenecks and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OCR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into existing platforms, expanding document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pipelines improving deployment efficiency.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features that enhanced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resolving issues related to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products on time and on budget.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system workflows, streamlining future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Node.js, Express,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Serverless,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Tesseract, Apryse, DataDog,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