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 with 11+ years of experience building data-intensive systems and AI-driven applications. Proven expertise in Scala, Java, and real-time processing design. Skilled in managing architectural direction and driving high-impact software initiatives to improve efficiency in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large-scale </w:t>
      </w:r>
      <w:r>
        <w:rPr>
          <w:rFonts w:asciiTheme="minorHAnsi" w:hAnsiTheme="minorHAnsi" w:cstheme="majorHAnsi"/>
          <w:b/>
          <w:bCs/>
          <w:lang w:val="en-US"/>
        </w:rPr>
        <w:t xml:space="preserve">data mining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payment integrity processes in healthcare.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engineering teams on best practices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decisions and influence cross-functional teams to align on product direction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risks related to systems architecture, focusing on data ingestion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customers to translate requirements into technical specifications for complex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engineering best practices to foster a strong technical culture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architectural documents outlining system design and technology stacks for upcoming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performance trade-offs of design choices while developing software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service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design patterns, fostering talent growth across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real-time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synchronization and event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workflows and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high standards of code quality and adherence to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data retrieval tasks, improving system performance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decision-making process for new feature integrations in large-scale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vital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maintenance and refactoring to enhance system performance and reduce tech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software requirements and designed coding solutions for backend systems.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performed system testing to ensure code reliability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that met customer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 data migration process that improved system interactions, impacting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Python, Rust,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Akka, Spring, Flask, TensorFlow, Apache Kafka,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Service Design,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