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architecting and developing TypeScript and Node.js applications. Proven expertise in building scalable microservices, enhancing performance, and applying blockchain technology to trading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trading and analytics at </w:t>
      </w:r>
      <w:r>
        <w:rPr>
          <w:rFonts w:asciiTheme="minorHAnsi" w:hAnsiTheme="minorHAnsi" w:cstheme="majorHAnsi"/>
          <w:b/>
          <w:bCs/>
          <w:lang w:val="en-US"/>
        </w:rPr>
        <w:t xml:space="preserve">Trojan Trading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and alerting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the fault-tolerance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Bun.js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for concurrent users with real-time data streaming architecture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enforcing best practices of writing clean and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and product teams to align solutions with business objectives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 and microservices architecture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disaster recovery protocols and maintained system availability for high-stakes trading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 for live data updates, enhancing the trading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services to streamline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Iteratively improved backend APIs based on user feedback, enhancing developer productivity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high-performing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in our microservices architecture, enhancing overall system responsiveness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developing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data-driven features in trading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on service layer, improving latency on complex queries under heavy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Enforced rigorous code testing procedures to guarantee service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 endpoints to streamline data flow between client applications and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system maintenance as a Backend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secure REST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more robust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and responsive designs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performance issues within backend systems, improving transaction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security protocols and uptime guarantees.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Bun.js,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React.js, NestJS,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CircleCI,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AWS, GraphQL, WebSockets,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Event-Driven Architecture,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