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ML/AI systems, LLMs, and production architecture. Proven expertise in design and implementation of robust, reliable AI systems using Python, RAG techniques, and performance evaluation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production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end-to-end, including </w:t>
      </w:r>
      <w:r>
        <w:rPr>
          <w:rFonts w:asciiTheme="minorHAnsi" w:hAnsiTheme="minorHAnsi" w:cstheme="majorHAnsi"/>
          <w:b/>
          <w:bCs/>
          <w:lang w:val="en-US"/>
        </w:rPr>
        <w:t xml:space="preserve">LLM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evaluations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related to the </w:t>
      </w:r>
      <w:r>
        <w:rPr>
          <w:rFonts w:asciiTheme="minorHAnsi" w:hAnsiTheme="minorHAnsi" w:cstheme="majorHAnsi"/>
          <w:b/>
          <w:bCs/>
          <w:lang w:val="en-US"/>
        </w:rPr>
        <w:t xml:space="preserve">AI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latency, cost,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mentorship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 for junior engineers, elevating team capability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teams to translate complexities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tooling to measure retrieval quality and system performance across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strategies to embed safety guardrails and confidence thresholds in deployed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to identify failure patterns and improve model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data-driven decision-making frameworks to guide tech investments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design reviews to elevate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end-to-end observability for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problem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critical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metrics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evaluation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test models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ingestion and processing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functionalities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system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resilience by implementing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implement real-time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increase in on-time delivery for ML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RAG, embeddings, reranking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FAISS, Chroma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Temporal,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evaluation frameworks,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Git, Jenkins,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