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of experience specializing in Java, Spring Boot, and PostgreSQL. Proven track record in multi-tenant SaaS architectures, implementing FHIR-compliant APIs, and ensuring HIPAA compliance, while leading development teams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22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 3.3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-compliant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the healthcare archive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multi-tenant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ensuring performance optimization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token validation and </w:t>
      </w:r>
      <w:r>
        <w:rPr>
          <w:rFonts w:asciiTheme="minorHAnsi" w:hAnsiTheme="minorHAnsi" w:cstheme="majorHAnsi"/>
          <w:b/>
          <w:bCs/>
          <w:lang w:val="en-US"/>
        </w:rPr>
        <w:t xml:space="preserve">Role-based access control (RBAC)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international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-compatible document storage,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 and message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and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comprehensive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architectural decisions and cross-team communications to drive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Flyway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migrations to manage schema changes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debugging and proactive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ecosystem, enhancing application performance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proper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Keycloak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security frameworks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validation solutions for healthcare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Data 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migrate legacy systems to modern multi-tenant architectures, improving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 and contributed to the continuous improvement of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QA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maintainability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as a backend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updates and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high 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the documentation of backend processes and codebase for improved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API response time through optimization efforts in one of the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Framework, Spring Data JPA, Hibernate, RabbitMQ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Flyway,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Authentication</w:t>
      </w:r>
      <w:r>
        <w:rPr>
          <w:rFonts w:asciiTheme="minorHAnsi" w:hAnsiTheme="minorHAnsi" w:cstheme="majorHAnsi"/>
          <w:lang w:val="en-US"/>
        </w:rPr>
        <w:t xml:space="preserve">: OAuth2, OIDC, Keycloak,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Agile/Scrum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