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leader with over 11 years of experience in developing cloud, mobile, and backend solutions for regulated medical devices. Expertise in software architecture and ensuring compliance with industry standards including IEC 62304. Proven track record in cybersecurity and continuous integration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regulated medical devices, ensuring compliance with </w:t>
      </w:r>
      <w:r>
        <w:rPr>
          <w:rFonts w:asciiTheme="minorHAnsi" w:hAnsiTheme="minorHAnsi" w:cstheme="majorHAnsi"/>
          <w:b/>
          <w:bCs/>
          <w:lang w:val="en-US"/>
        </w:rPr>
        <w:t xml:space="preserve">IEC 62304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integrate </w:t>
      </w:r>
      <w:r>
        <w:rPr>
          <w:rFonts w:asciiTheme="minorHAnsi" w:hAnsiTheme="minorHAnsi" w:cstheme="majorHAnsi"/>
          <w:b/>
          <w:bCs/>
          <w:lang w:val="en-US"/>
        </w:rPr>
        <w:t xml:space="preserve">mobile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into a cohesive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CI/CD pipeline implementation, significantly enhancing deployment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cybersecurity teams to embed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into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outsourced development teams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 maintaining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Approved technical deliverables and architecture decisions, ensuring alignment with </w:t>
      </w:r>
      <w:r>
        <w:rPr>
          <w:rFonts w:asciiTheme="minorHAnsi" w:hAnsiTheme="minorHAnsi" w:cstheme="majorHAnsi"/>
          <w:b/>
          <w:bCs/>
          <w:lang w:val="en-US"/>
        </w:rPr>
        <w:t xml:space="preserve">regulatory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best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strategies for post-market performance evaluation of digital health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design documentation, ensuring robust data management across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documented software development processes, improving transparency and traceability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threat modeling and risk assessment activities to uphold software </w:t>
      </w:r>
      <w:r>
        <w:rPr>
          <w:rFonts w:asciiTheme="minorHAnsi" w:hAnsiTheme="minorHAnsi" w:cstheme="majorHAnsi"/>
          <w:b/>
          <w:bCs/>
          <w:lang w:val="en-US"/>
        </w:rPr>
        <w:t xml:space="preserve">security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educational technologies, focusing on user engagement and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promoting best practices in </w:t>
      </w:r>
      <w:r>
        <w:rPr>
          <w:rFonts w:asciiTheme="minorHAnsi" w:eastAsia="Times New Roman" w:hAnsiTheme="minorHAnsi" w:cs="Times New Roman"/>
          <w:b/>
          <w:bCs/>
          <w:lang w:val="en-US"/>
        </w:rPr>
        <w:t xml:space="preserve">software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architectural discussions to steer new product features in mobile and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new technologies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software testing methodologies, integrating continuous testing practices to reduce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translating them into functional specifications and technical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reviews and audits, ensuring compliance with </w:t>
      </w:r>
      <w:r>
        <w:rPr>
          <w:rFonts w:asciiTheme="minorHAnsi" w:eastAsia="Times New Roman" w:hAnsiTheme="minorHAnsi" w:cs="Times New Roman"/>
          <w:b/>
          <w:bCs/>
          <w:lang w:val="en-US"/>
        </w:rPr>
        <w:t xml:space="preserve">ISO 13485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ISO 14971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crucial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ensuring adherence to defined architectural patterns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create automated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database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retrieval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maintenance tasks and troubleshooting, significantly reducing downtime impacts.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product launch that improved user engagement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 React,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Compliance</w:t>
      </w:r>
      <w:r>
        <w:rPr>
          <w:rFonts w:asciiTheme="minorHAnsi" w:hAnsiTheme="minorHAnsi" w:cstheme="majorHAnsi"/>
          <w:lang w:val="en-US"/>
        </w:rPr>
        <w:t xml:space="preserve">: IEC 62304, ISO 13485, ISO 14971</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