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Engineering Lead with over 11 years of experience specializing in Ruby on Rails, React, PostgreSQL, and AI-driven development. Expert in modern architecture practices, team leadership, and building scalable B2B SaaS applications with a focus on quality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engineering strategy to integrate market intelligence into </w:t>
      </w:r>
      <w:r>
        <w:rPr>
          <w:rFonts w:asciiTheme="minorHAnsi" w:hAnsiTheme="minorHAnsi" w:cstheme="majorHAnsi"/>
          <w:b/>
          <w:bCs/>
          <w:lang w:val="en-US"/>
        </w:rPr>
        <w:t xml:space="preserve">Maven's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generative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cross-functional team developing high-quality SaaS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AI-assisted development pipelines that enhanced code review and automated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flows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trigger actions in response to real-time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mentorship programs to foster a culture of innovation and technical excellence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evolution of the unified interface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data science teams on roadmap planning and integration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code quality processes through automated review pipelines linked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team efficiency with Agile methodologies, deploying iteratively with focus on delivering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architectural review sessions to identify improvements and enforce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operational excellence by partnering closely with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data accuracy and pipeline robustness.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complex features in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software development best practices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feature delivery times by overhauling CI/CD practices and introducing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background jobs, improving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data ingestion workflows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Liaised with product management to align engineering projects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profiling and optimizing SQL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improved team collaboration and code quality review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and backend infrastructure as a part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clean codebase by adhering to best practices and introducing linters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through migration to more efficient solutions and optimized data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promote knowledge sharing and technical growth.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development environments, improving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increase in code coverage across test suites by adding unit and integration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 CSS, Sidekiq,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GitHub Actions, Linear,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Cypress, AI-assisted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Continuous Integration, Automated Deployment, Monitoring,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