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TypeScript, React, Postgres, Docker, Kubernetes, and JavaScript. Adept at developing innovative ad formats and enhancing technical foundations for optimized performance. Proven ability in building scalable applications and collaborating cross-functionally.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innovative ad formats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advertiser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Took ownership of architecture decisions for scalable ad infrastructure,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build efficiency and deployment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design teams to establish product-market fit for new ad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tests and performance audits to ensure code quality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new ad formats, fostering team knowledge sharing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Iterated on product features based on advertiser feedback to refine usability and alignment with market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Speared initiative to enhance web accessibility standards, increasing inclusivity for diverse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ad serving, optimizing data flows and retrieval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monitoring tools for observability, enhancing system reliability and reducing downtime.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experiences and increasing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collaboration and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automated testing frameworks, improving code quality and reducing bugs before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refine application designs, ensuring technical feasibility and increased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services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management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improving deployment efficiency and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resulting in faster development cycles and decreased time to market.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optimized performance metrics, leading to improved application responsiveness and load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an individual developer in building web applications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improving user accessibility across multiple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through debugging and feature enhancements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stacks,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on feature specifications and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improved application performance metrics by optimizing database queries and reducing response time, delivering results ahead of schedule.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Django,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MongoDB,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Agile, Scrum, Web Accessibility, Ad Tech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