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experience, specializing in React, TypeScript, and NodeJS. Proven track record in building scalable observability solutions. Experienced in modern software practices with a strong emphasis on quality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user-facing components for </w:t>
      </w:r>
      <w:r>
        <w:rPr>
          <w:rFonts w:asciiTheme="minorHAnsi" w:hAnsiTheme="minorHAnsi" w:cstheme="majorHAnsi"/>
          <w:b/>
          <w:bCs/>
          <w:lang w:val="en-US"/>
        </w:rPr>
        <w:t xml:space="preserve">Imply Lumi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with existing observability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enterprise-grade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high-value features iteratively and secure.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resilient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cover functional requirements and conducted security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adherence to best practices in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modern software engineering practices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areas for improvement in CI/CD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documentation to support onboarding and maintainability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such as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billing and payment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to enhance team collaboration and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and optimized code for better efficiency.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with third-party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Braintree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payment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participated in code reviews to promote best practices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the quality and security of applications through rigorous testing and code audits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 customer identity management service for enhanced user authentication.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deliver intuitive and user-friendly interfaces successfully.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scalability and performance through thoughtful architecture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enhancements, improving deployment efficiency.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from requirements gathering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to ensure application reliability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technologies, enhancing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and solutions for team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performance through optimization strategies.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Apache Druid,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Postman, Stripe, Braintree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