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building and operating cloud-native platforms. Proficient in Kubernetes, Google Cloud Platform, and Terraform for Infrastructure-as-Code. Proven ability to enhance operational efficiency and implement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security and scalability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major modernization initiatives to migrate from legacy tooling to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services including a fleet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and associated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for key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Service Level Objectives (SLOs).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features for core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public API gateways.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refine the </w:t>
      </w:r>
      <w:r>
        <w:rPr>
          <w:rFonts w:asciiTheme="minorHAnsi" w:hAnsiTheme="minorHAnsi" w:cstheme="majorHAnsi"/>
          <w:b/>
          <w:bCs/>
          <w:lang w:val="en-US"/>
        </w:rPr>
        <w:t xml:space="preserve">DevEx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managed infrastructure, focusing on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guidance to ensure optimal platform operation.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operational best practices that improved deployment processes across the engineering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the use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foster skills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performance optimizations for critical production services,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infrastructure architectures, ensuring transparency of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the deployment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ArgoCD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 by automating rollbacks and scaling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cloud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infrastructure improvements to ensure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capability and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teams to visualize metrics and enhance operational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projects focusing on performance tuning and operational resilience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observability tools to monitor system health and performance, contributing to increased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Infrastructure-as-Code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consistent and reproducible infrastructure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cloud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customer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maintenance and scaling of existing applications, achieving improved performance through code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that automated build and release processes, enhancing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perform root cause analyses for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in diverse environments, ensuring compliance with security protocols with a focus on operational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Amazon Web Services, Kubernetes, Terraform, GitLab,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Terraform, Crossplane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GitLab,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