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AI and ML development. Proficient in Python, GenAI, LLMs, and evaluation frameworks. Passionate about implementing innovative financial solutions for diverse user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LLM-powered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financial features, enhancing user experience with personalization based on AI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robust evaluation frameworks for AI features,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and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architecture decisions for AI systems, focusing on scalability and reliability of deployed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AI Platform team on infrastructure and observability for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improvement of ML models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performance and accuracy in financial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and validated evaluation datasets and scoring systems to maintain AI feature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AI best practices, fostering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multi-agent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LangGraph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user interactions with our financial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optimized retrieval-augmented generation (</w:t>
      </w:r>
      <w:r>
        <w:rPr>
          <w:rFonts w:asciiTheme="minorHAnsi" w:hAnsiTheme="minorHAnsi" w:cstheme="majorHAnsi"/>
          <w:b/>
          <w:bCs/>
          <w:lang w:val="en-US"/>
        </w:rPr>
        <w:t xml:space="preserve">RAG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) systems, enhancing user queries and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retrieval, integrating with our AI systems to improve financial recommendations.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rigorous quality assurance of ML features, aligning with user feedback.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AI features for personal finance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training and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AI and software engineering practices, improving team skillsets and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containerize and deploy production-level AI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for seamless integration of features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projects to assess performance of LLM features, employing structured evaluation methods for feedback loops.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strong data visualization techniques to present AI-driven insights effectively to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advocating for solutions addressing long-term maintainability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systems for stability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architectures,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acceptance testing and maintained code quality standards through automated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refine user stories and deliver actionable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and training materials for new AI functionalities on the finance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resulted in a 30% increase in user satisfaction over six months.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GenAI, LLMs, RAG systems, Probabilistic Reasoning, Embeddings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LangGraph, AutoGen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OpenSearch, Pinecone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