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desktop development. Expertise in C++, Visual Studio, and architecture modernization for scalable applications. Proven record in improving system performance and supporting complex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Shape architecture for platform subsystems including </w:t>
      </w:r>
      <w:r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calculation engines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delivery of features from design to release, ensuring alignment with business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technical requirements into clear specifications for development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investigations into bugs and performance issues within large, multi-module systems,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enforce engineering standards and promote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on test strategies, enhancing testing frameworks for better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an escalation point for advanced technical issues, streamlining support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design decisions and architectural changes to foster knowledge sharing across the technical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address technical debt during roadmap planning to ensure future system agility.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structured data handling in compliance with modern application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continuous integration and deployment improvements, optimizing workflows and reducing cycle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use of legacy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Redesigned existing API interfaces into unified, technology-agnostic APIs, leveraging best practices in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improve code coverage and decrease regression bugs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schema and data access patterns for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 to ensure coherent integration across various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processes using CI/CD tools to streamline delivery and enhance project management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upgrade legacy components, incorporating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for improved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desktop applications supporting process manufacturing with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system migrations and documentation to ensure seamless transitions and maintenance of legacy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tasks, improving efficiency in daily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 for critical bugs in production code, significantly improving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 integration with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establish real-time data access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enhanced system interoperability and user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COM, OPC,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JIRA, Confluence,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SQLite, ODBC,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Licensing &amp; Deployment</w:t>
      </w:r>
      <w:r>
        <w:rPr>
          <w:rFonts w:asciiTheme="minorHAnsi" w:hAnsiTheme="minorHAnsi" w:cstheme="majorHAnsi"/>
          <w:lang w:val="en-US"/>
        </w:rPr>
        <w:t xml:space="preserve">: FlexNet, Zentitle, MFC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