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Expertise in Python, AWS, and MySQL with strong capabilities in Kubernetes and distributed systems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adding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strengthen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Credit Risk teams to align on feature requirements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build scalable backend solutions that minimize downtime and exceed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ensure adherence to company standards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via advanced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resulting in reduced latency in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best practices for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testing and deployment workflows while improving release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pair programming and code reviews to bolster team cooperation and knowledge sharing among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by integrating tools that improve tracking of application performance and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agile ceremonies to ensure alignment on team goals and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launched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Spring Boot, enhancing product functionalities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to improve scalability, resilience, and ease of maintenance within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initiatives to deliver features that meet both technical and business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foster a culture of quality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higher operational efficiency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system architecture standards to ensure consistency and security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RESTful APIs improving external system interoperability with internal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efficiency and functionality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functional and non-functional requirements for software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ensuring legacy systems interfaced correctly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support for backend issues ensuring system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 leading to optimizations in service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development by contributing to project documentation, ensuring clear understanding among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