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developing high-performance web applications using React, Node.js, PostgreSQL, and Sass. Proficient in delivering pixel-perfect implementations and optimizing user experiences through robust architecture and design strategies. Seeking to leverage expertise in modern JavaScript frameworks to contribute to RubyLaw's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front-end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client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integration and front-end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realize intricate UI/UX designs, ensuring pixel-perfect compliance with original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 optimizations and efficient asset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high-quality code standards including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user experiences by implementing effective performance testing strategies and monitoring site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solutions, optimizing database queries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streamlined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transcompile JS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protocols for production applications monitoring to maintain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product vision with technical feasibility.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web applications for law firms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modularity and reducing redundancy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team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translate business requirements into technical solutions,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and various third-party services to extend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platform's performance by optimizing data flow and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continuously improve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future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prototypes for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strict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for various client projects, ensuring timely delivery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systems, performing code reviews, and updating documentation to current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front-end features using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fixes, enhancing user interfaces'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engineers by assisting in debugging and troubleshooting client-side scripts, contributing to quicker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feedback scores from clients for timely deployments and reliability of web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Elasticsearch, Couchbase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Styling &amp; CSS Preprocessors</w:t>
      </w:r>
      <w:r>
        <w:rPr>
          <w:rFonts w:asciiTheme="minorHAnsi" w:hAnsiTheme="minorHAnsi" w:cstheme="majorHAnsi"/>
          <w:lang w:val="en-US"/>
        </w:rPr>
        <w:t xml:space="preserve">: Sass,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 Tools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